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598"/>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w:t>
      </w:r>
      <w:r>
        <w:rPr>
          <w:rFonts w:ascii="方正小标宋简体" w:hAnsi="宋体" w:eastAsia="方正小标宋简体"/>
          <w:color w:val="000000"/>
          <w:sz w:val="72"/>
          <w:szCs w:val="72"/>
        </w:rPr>
        <w:t>市信访局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1"/>
      </w:pPr>
      <w:r>
        <w:rPr>
          <w:rFonts w:hint="eastAsia"/>
        </w:rPr>
        <w:t>公开时间：</w:t>
      </w:r>
      <w:r>
        <w:t>2021</w:t>
      </w:r>
      <w:r>
        <w:rPr>
          <w:rFonts w:hint="eastAsia"/>
        </w:rPr>
        <w:t>年9月15日</w:t>
      </w:r>
    </w:p>
    <w:p/>
    <w:p>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r>
        <w:rPr>
          <w:sz w:val="24"/>
        </w:rPr>
        <w:t>………………………………………………</w:t>
      </w:r>
      <w:r>
        <w:rPr>
          <w:rFonts w:hint="eastAsia"/>
          <w:sz w:val="24"/>
        </w:rPr>
        <w:t>.4</w:t>
      </w:r>
    </w:p>
    <w:p>
      <w:pPr>
        <w:pStyle w:val="12"/>
        <w:adjustRightInd w:val="0"/>
        <w:snapToGrid w:val="0"/>
        <w:spacing w:line="440" w:lineRule="exact"/>
        <w:jc w:val="left"/>
        <w:rPr>
          <w:rFonts w:ascii="仿宋" w:hAnsi="仿宋" w:eastAsia="仿宋"/>
          <w:sz w:val="24"/>
        </w:rPr>
      </w:pPr>
      <w:r>
        <w:rPr>
          <w:rFonts w:hint="eastAsia"/>
          <w:sz w:val="24"/>
        </w:rPr>
        <w:t>二、机构设置</w:t>
      </w:r>
      <w:r>
        <w:rPr>
          <w:sz w:val="24"/>
        </w:rPr>
        <w:t>……………………………………………………………</w:t>
      </w:r>
      <w:r>
        <w:rPr>
          <w:rFonts w:hint="eastAsia"/>
          <w:sz w:val="24"/>
        </w:rPr>
        <w:t>.6</w:t>
      </w:r>
    </w:p>
    <w:p>
      <w:pPr>
        <w:pStyle w:val="11"/>
        <w:adjustRightInd w:val="0"/>
        <w:snapToGrid w:val="0"/>
        <w:spacing w:before="0" w:line="440" w:lineRule="exact"/>
        <w:jc w:val="left"/>
        <w:rPr>
          <w:sz w:val="24"/>
          <w:szCs w:val="24"/>
        </w:rPr>
      </w:pPr>
      <w:r>
        <w:rPr>
          <w:rFonts w:hint="eastAsia"/>
          <w:sz w:val="24"/>
        </w:rPr>
        <w:t>第二部分 年度部门决算情况说明</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w:t>
      </w:r>
      <w:r>
        <w:rPr>
          <w:sz w:val="24"/>
        </w:rPr>
        <w:t>………………………………………</w:t>
      </w:r>
      <w:r>
        <w:rPr>
          <w:rFonts w:hint="eastAsia"/>
          <w:sz w:val="24"/>
        </w:rPr>
        <w:t>.7</w:t>
      </w:r>
    </w:p>
    <w:p>
      <w:pPr>
        <w:pStyle w:val="12"/>
        <w:adjustRightInd w:val="0"/>
        <w:snapToGrid w:val="0"/>
        <w:spacing w:line="440" w:lineRule="exact"/>
        <w:jc w:val="left"/>
        <w:rPr>
          <w:rFonts w:ascii="仿宋" w:hAnsi="仿宋" w:eastAsia="仿宋"/>
          <w:sz w:val="24"/>
        </w:rPr>
      </w:pPr>
      <w:r>
        <w:rPr>
          <w:rFonts w:hint="eastAsia"/>
          <w:sz w:val="24"/>
        </w:rPr>
        <w:t>二、收入决算情况说明</w:t>
      </w:r>
      <w:r>
        <w:rPr>
          <w:sz w:val="24"/>
        </w:rPr>
        <w:t>…………………………………………………</w:t>
      </w:r>
      <w:r>
        <w:rPr>
          <w:rFonts w:hint="eastAsia"/>
          <w:sz w:val="24"/>
        </w:rPr>
        <w:t>.7</w:t>
      </w:r>
    </w:p>
    <w:p>
      <w:pPr>
        <w:pStyle w:val="12"/>
        <w:adjustRightInd w:val="0"/>
        <w:snapToGrid w:val="0"/>
        <w:spacing w:line="440" w:lineRule="exact"/>
        <w:jc w:val="left"/>
        <w:rPr>
          <w:rFonts w:ascii="仿宋" w:hAnsi="仿宋" w:eastAsia="仿宋"/>
          <w:sz w:val="24"/>
        </w:rPr>
      </w:pPr>
      <w:r>
        <w:rPr>
          <w:rFonts w:hint="eastAsia"/>
          <w:sz w:val="24"/>
        </w:rPr>
        <w:t>三、支出决算情况说明</w:t>
      </w:r>
      <w:r>
        <w:rPr>
          <w:sz w:val="24"/>
        </w:rPr>
        <w:t>…………………………………………………</w:t>
      </w:r>
      <w:r>
        <w:rPr>
          <w:rFonts w:hint="eastAsia"/>
          <w:sz w:val="24"/>
        </w:rPr>
        <w:t>.8</w:t>
      </w:r>
    </w:p>
    <w:p>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w:t>
      </w:r>
      <w:r>
        <w:rPr>
          <w:sz w:val="24"/>
        </w:rPr>
        <w:t>……………………………</w:t>
      </w:r>
      <w:r>
        <w:rPr>
          <w:rFonts w:hint="eastAsia"/>
          <w:sz w:val="24"/>
        </w:rPr>
        <w:t>.8</w:t>
      </w:r>
    </w:p>
    <w:p>
      <w:pPr>
        <w:pStyle w:val="12"/>
        <w:adjustRightInd w:val="0"/>
        <w:snapToGrid w:val="0"/>
        <w:spacing w:line="440" w:lineRule="exact"/>
        <w:jc w:val="left"/>
        <w:rPr>
          <w:rFonts w:ascii="仿宋" w:hAnsi="仿宋" w:eastAsia="仿宋"/>
          <w:sz w:val="24"/>
        </w:rPr>
      </w:pPr>
      <w:r>
        <w:rPr>
          <w:rFonts w:hint="eastAsia"/>
          <w:sz w:val="24"/>
        </w:rPr>
        <w:t>五、一般公共预算财政拨款支出决算情况说明</w:t>
      </w:r>
      <w:r>
        <w:rPr>
          <w:sz w:val="24"/>
        </w:rPr>
        <w:t>………………………</w:t>
      </w:r>
      <w:r>
        <w:rPr>
          <w:rFonts w:hint="eastAsia"/>
          <w:sz w:val="24"/>
        </w:rPr>
        <w:t>.9</w:t>
      </w:r>
    </w:p>
    <w:p>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r>
        <w:rPr>
          <w:sz w:val="24"/>
        </w:rPr>
        <w:t>…………………</w:t>
      </w:r>
      <w:r>
        <w:rPr>
          <w:rFonts w:hint="eastAsia"/>
          <w:sz w:val="24"/>
        </w:rPr>
        <w:t>11</w:t>
      </w:r>
    </w:p>
    <w:p>
      <w:pPr>
        <w:pStyle w:val="12"/>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..12</w:t>
      </w:r>
    </w:p>
    <w:p>
      <w:pPr>
        <w:pStyle w:val="12"/>
        <w:adjustRightInd w:val="0"/>
        <w:snapToGrid w:val="0"/>
        <w:spacing w:line="440" w:lineRule="exact"/>
        <w:jc w:val="left"/>
        <w:rPr>
          <w:rFonts w:ascii="仿宋" w:hAnsi="仿宋" w:eastAsia="仿宋"/>
          <w:sz w:val="24"/>
        </w:rPr>
      </w:pPr>
      <w:r>
        <w:rPr>
          <w:rFonts w:hint="eastAsia"/>
          <w:sz w:val="24"/>
        </w:rPr>
        <w:t>八、政府性基金预算支出决算情况说明</w:t>
      </w:r>
      <w:r>
        <w:rPr>
          <w:sz w:val="24"/>
        </w:rPr>
        <w:t>………………………………</w:t>
      </w:r>
      <w:r>
        <w:rPr>
          <w:rFonts w:hint="eastAsia"/>
          <w:sz w:val="24"/>
        </w:rPr>
        <w:t>13</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r>
        <w:rPr>
          <w:sz w:val="24"/>
        </w:rPr>
        <w:t>…………………………</w:t>
      </w:r>
      <w:r>
        <w:rPr>
          <w:rFonts w:hint="eastAsia"/>
          <w:sz w:val="24"/>
        </w:rPr>
        <w:t>..13</w:t>
      </w:r>
    </w:p>
    <w:p>
      <w:pPr>
        <w:adjustRightInd w:val="0"/>
        <w:snapToGrid w:val="0"/>
        <w:spacing w:line="440" w:lineRule="exact"/>
        <w:ind w:firstLine="480" w:firstLineChars="200"/>
        <w:jc w:val="left"/>
        <w:rPr>
          <w:rFonts w:ascii="仿宋" w:hAnsi="仿宋" w:eastAsia="仿宋"/>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ascii="仿宋" w:hAnsi="仿宋" w:eastAsia="仿宋"/>
          <w:sz w:val="24"/>
        </w:rPr>
        <w:t>………………………………………</w:t>
      </w:r>
      <w:r>
        <w:rPr>
          <w:rFonts w:hint="eastAsia" w:ascii="仿宋" w:hAnsi="仿宋" w:eastAsia="仿宋"/>
          <w:sz w:val="24"/>
        </w:rPr>
        <w:t>13</w:t>
      </w:r>
    </w:p>
    <w:p>
      <w:pPr>
        <w:adjustRightInd w:val="0"/>
        <w:snapToGrid w:val="0"/>
        <w:spacing w:line="440" w:lineRule="exact"/>
        <w:jc w:val="left"/>
        <w:rPr>
          <w:sz w:val="24"/>
        </w:rPr>
      </w:pPr>
      <w:r>
        <w:rPr>
          <w:rFonts w:hint="eastAsia" w:ascii="仿宋" w:hAnsi="仿宋" w:eastAsia="仿宋"/>
          <w:sz w:val="24"/>
          <w:szCs w:val="28"/>
        </w:rPr>
        <w:t>第三部分</w:t>
      </w:r>
      <w:r>
        <w:rPr>
          <w:rFonts w:ascii="仿宋" w:hAnsi="仿宋" w:eastAsia="仿宋"/>
          <w:sz w:val="24"/>
          <w:szCs w:val="28"/>
        </w:rPr>
        <w:t xml:space="preserve"> </w:t>
      </w:r>
      <w:r>
        <w:rPr>
          <w:rFonts w:hint="eastAsia" w:ascii="仿宋" w:hAnsi="仿宋" w:eastAsia="仿宋"/>
          <w:sz w:val="24"/>
          <w:szCs w:val="28"/>
        </w:rPr>
        <w:t>名词解释</w:t>
      </w:r>
      <w:r>
        <w:rPr>
          <w:sz w:val="24"/>
        </w:rPr>
        <w:t>……………………………………………………</w:t>
      </w:r>
      <w:r>
        <w:rPr>
          <w:rFonts w:hint="eastAsia"/>
          <w:sz w:val="24"/>
        </w:rPr>
        <w:t xml:space="preserve"> </w:t>
      </w:r>
      <w:r>
        <w:rPr>
          <w:sz w:val="24"/>
        </w:rPr>
        <w:t>……</w:t>
      </w:r>
      <w:r>
        <w:rPr>
          <w:rFonts w:hint="eastAsia"/>
          <w:sz w:val="24"/>
        </w:rPr>
        <w:t>24</w:t>
      </w:r>
    </w:p>
    <w:p>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ascii="Times New Roman" w:hAnsi="Times New Roman" w:eastAsia="宋体"/>
          <w:sz w:val="24"/>
          <w:szCs w:val="24"/>
        </w:rPr>
        <w:t>附</w:t>
      </w:r>
      <w:r>
        <w:rPr>
          <w:rFonts w:hint="eastAsia"/>
          <w:sz w:val="24"/>
        </w:rPr>
        <w:t>件</w:t>
      </w:r>
      <w:r>
        <w:rPr>
          <w:sz w:val="24"/>
        </w:rPr>
        <w:t>………………………………………………………………</w:t>
      </w:r>
      <w:r>
        <w:rPr>
          <w:rFonts w:hint="eastAsia"/>
          <w:sz w:val="24"/>
        </w:rPr>
        <w:t>26</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1……………………………………………………………………</w:t>
      </w:r>
      <w:r>
        <w:rPr>
          <w:rFonts w:hint="eastAsia"/>
          <w:sz w:val="24"/>
        </w:rPr>
        <w:t>26</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2……………………………………………………………………</w:t>
      </w:r>
      <w:r>
        <w:rPr>
          <w:rFonts w:hint="eastAsia"/>
          <w:sz w:val="24"/>
        </w:rPr>
        <w:t>28</w:t>
      </w:r>
    </w:p>
    <w:p>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w:t>
      </w:r>
      <w:r>
        <w:rPr>
          <w:rFonts w:hint="eastAsia"/>
          <w:sz w:val="24"/>
        </w:rPr>
        <w:t xml:space="preserve">32 </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 xml:space="preserve">表 </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sz w:val="24"/>
        </w:rPr>
        <w:t>………………………………………………………</w:t>
      </w:r>
      <w:r>
        <w:rPr>
          <w:rFonts w:hint="eastAsia"/>
          <w:sz w:val="24"/>
        </w:rPr>
        <w:t xml:space="preserve"> ..32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r>
        <w:rPr>
          <w:sz w:val="24"/>
        </w:rPr>
        <w:t>……………………………………</w:t>
      </w:r>
      <w:r>
        <w:rPr>
          <w:rFonts w:hint="eastAsia"/>
          <w:sz w:val="24"/>
        </w:rPr>
        <w:t xml:space="preserve"> ..32</w:t>
      </w:r>
    </w:p>
    <w:p>
      <w:pPr>
        <w:pStyle w:val="12"/>
        <w:adjustRightInd w:val="0"/>
        <w:snapToGrid w:val="0"/>
        <w:spacing w:line="440" w:lineRule="exact"/>
        <w:jc w:val="left"/>
        <w:rPr>
          <w:sz w:val="24"/>
        </w:rPr>
      </w:pPr>
      <w:r>
        <w:rPr>
          <w:rFonts w:hint="eastAsia" w:ascii="仿宋" w:hAnsi="仿宋" w:eastAsia="仿宋"/>
          <w:sz w:val="24"/>
        </w:rPr>
        <w:t>五、</w:t>
      </w:r>
      <w:r>
        <w:rPr>
          <w:rFonts w:hint="eastAsia"/>
          <w:sz w:val="24"/>
        </w:rPr>
        <w:t>财政拨款支出决算明细表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r>
        <w:rPr>
          <w:sz w:val="24"/>
        </w:rPr>
        <w:t>………</w:t>
      </w:r>
      <w:r>
        <w:rPr>
          <w:rFonts w:hint="eastAsia"/>
          <w:sz w:val="24"/>
        </w:rPr>
        <w:t>32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十三、</w:t>
      </w:r>
      <w:r>
        <w:rPr>
          <w:rFonts w:hint="eastAsia"/>
          <w:sz w:val="24"/>
        </w:rPr>
        <w:t>国有资本经营预算财政拨款收入支出决算表</w:t>
      </w:r>
      <w:r>
        <w:rPr>
          <w:sz w:val="24"/>
        </w:rPr>
        <w:t>………………</w:t>
      </w:r>
      <w:r>
        <w:rPr>
          <w:rFonts w:hint="eastAsia"/>
          <w:sz w:val="24"/>
        </w:rPr>
        <w:t>32</w:t>
      </w:r>
    </w:p>
    <w:p>
      <w:pPr>
        <w:pStyle w:val="12"/>
        <w:adjustRightInd w:val="0"/>
        <w:snapToGrid w:val="0"/>
        <w:spacing w:line="440" w:lineRule="exact"/>
        <w:jc w:val="left"/>
        <w:rPr>
          <w:sz w:val="24"/>
        </w:rPr>
      </w:pPr>
      <w:r>
        <w:rPr>
          <w:rFonts w:hint="eastAsia" w:ascii="仿宋" w:hAnsi="仿宋" w:eastAsia="仿宋"/>
          <w:sz w:val="24"/>
        </w:rPr>
        <w:t>十四、</w:t>
      </w:r>
      <w:r>
        <w:rPr>
          <w:rFonts w:hint="eastAsia"/>
          <w:sz w:val="24"/>
        </w:rPr>
        <w:t>国有资本经营预算财政拨款支出决算表</w:t>
      </w:r>
      <w:r>
        <w:rPr>
          <w:sz w:val="24"/>
        </w:rPr>
        <w:t>……………………</w:t>
      </w:r>
      <w:r>
        <w:rPr>
          <w:rFonts w:hint="eastAsia"/>
          <w:sz w:val="24"/>
        </w:rPr>
        <w:t>32</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Fonts w:ascii="黑体" w:hAnsi="黑体" w:eastAsia="黑体"/>
          <w:b w:val="0"/>
        </w:rPr>
      </w:pP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480" w:firstLineChars="15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hd w:val="clear" w:color="auto" w:fill="FFFFFF"/>
        <w:spacing w:line="600" w:lineRule="exact"/>
        <w:ind w:firstLine="645"/>
        <w:rPr>
          <w:rFonts w:ascii="仿宋" w:hAnsi="仿宋" w:eastAsia="仿宋"/>
          <w:bCs/>
          <w:color w:val="000000"/>
          <w:kern w:val="0"/>
          <w:sz w:val="32"/>
          <w:szCs w:val="32"/>
        </w:rPr>
      </w:pPr>
      <w:r>
        <w:rPr>
          <w:rFonts w:hint="eastAsia" w:ascii="仿宋" w:hAnsi="仿宋" w:eastAsia="仿宋"/>
          <w:bCs/>
          <w:color w:val="000000"/>
          <w:kern w:val="0"/>
          <w:sz w:val="32"/>
          <w:szCs w:val="32"/>
        </w:rPr>
        <w:t>1.认真贯彻落实中央、省、市关于新时期群众（信访）工作的方针政策，全面贯彻落实国务院《信访条例》，规范信访工作行为，畅通信访渠道，反映社情民意。</w:t>
      </w:r>
    </w:p>
    <w:p>
      <w:pPr>
        <w:widowControl/>
        <w:shd w:val="clear" w:color="auto" w:fill="FFFFFF"/>
        <w:spacing w:line="600" w:lineRule="exact"/>
        <w:ind w:firstLine="645"/>
        <w:jc w:val="left"/>
        <w:rPr>
          <w:rFonts w:ascii="仿宋" w:hAnsi="仿宋" w:eastAsia="仿宋"/>
          <w:bCs/>
          <w:color w:val="000000"/>
          <w:kern w:val="0"/>
          <w:sz w:val="32"/>
          <w:szCs w:val="32"/>
        </w:rPr>
      </w:pPr>
      <w:r>
        <w:rPr>
          <w:rFonts w:hint="eastAsia" w:ascii="仿宋" w:hAnsi="仿宋" w:eastAsia="仿宋"/>
          <w:bCs/>
          <w:color w:val="000000"/>
          <w:kern w:val="0"/>
          <w:sz w:val="32"/>
          <w:szCs w:val="32"/>
        </w:rPr>
        <w:t>2.受理、交办、转送信访人提出的信访事项。</w:t>
      </w:r>
    </w:p>
    <w:p>
      <w:pPr>
        <w:widowControl/>
        <w:shd w:val="clear" w:color="auto" w:fill="FFFFFF"/>
        <w:spacing w:line="600" w:lineRule="exact"/>
        <w:ind w:left="638"/>
        <w:jc w:val="left"/>
        <w:rPr>
          <w:rFonts w:ascii="仿宋" w:hAnsi="仿宋" w:eastAsia="仿宋"/>
          <w:bCs/>
          <w:color w:val="000000"/>
          <w:kern w:val="0"/>
          <w:sz w:val="32"/>
          <w:szCs w:val="32"/>
        </w:rPr>
      </w:pPr>
      <w:r>
        <w:rPr>
          <w:rFonts w:hint="eastAsia" w:ascii="仿宋" w:hAnsi="仿宋" w:eastAsia="仿宋"/>
          <w:bCs/>
          <w:color w:val="000000"/>
          <w:kern w:val="0"/>
          <w:sz w:val="32"/>
          <w:szCs w:val="32"/>
        </w:rPr>
        <w:t>3.承办上级和本级人民政府交由处理的信访事项。</w:t>
      </w:r>
      <w:r>
        <w:rPr>
          <w:rFonts w:ascii="仿宋" w:hAnsi="仿宋" w:eastAsia="仿宋"/>
          <w:bCs/>
          <w:color w:val="000000"/>
          <w:kern w:val="0"/>
          <w:sz w:val="32"/>
          <w:szCs w:val="32"/>
        </w:rPr>
        <w:t> </w:t>
      </w:r>
    </w:p>
    <w:p>
      <w:pPr>
        <w:widowControl/>
        <w:shd w:val="clear" w:color="auto" w:fill="FFFFFF"/>
        <w:spacing w:line="600" w:lineRule="exact"/>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4.协调处理重要信访事项。</w:t>
      </w:r>
    </w:p>
    <w:p>
      <w:pPr>
        <w:widowControl/>
        <w:shd w:val="clear" w:color="auto" w:fill="FFFFFF"/>
        <w:spacing w:line="600" w:lineRule="exact"/>
        <w:ind w:left="638"/>
        <w:jc w:val="left"/>
        <w:rPr>
          <w:rFonts w:ascii="仿宋" w:hAnsi="仿宋" w:eastAsia="仿宋"/>
          <w:bCs/>
          <w:color w:val="000000"/>
          <w:kern w:val="0"/>
          <w:sz w:val="32"/>
          <w:szCs w:val="32"/>
        </w:rPr>
      </w:pPr>
      <w:r>
        <w:rPr>
          <w:rFonts w:hint="eastAsia" w:ascii="仿宋" w:hAnsi="仿宋" w:eastAsia="仿宋"/>
          <w:bCs/>
          <w:color w:val="000000"/>
          <w:kern w:val="0"/>
          <w:sz w:val="32"/>
          <w:szCs w:val="32"/>
        </w:rPr>
        <w:t>5.督促检查信访事项的处理。</w:t>
      </w:r>
    </w:p>
    <w:p>
      <w:pPr>
        <w:widowControl/>
        <w:shd w:val="clear" w:color="auto" w:fill="FFFFFF"/>
        <w:spacing w:line="600" w:lineRule="exact"/>
        <w:ind w:firstLine="637"/>
        <w:jc w:val="left"/>
        <w:rPr>
          <w:rFonts w:ascii="仿宋" w:hAnsi="仿宋" w:eastAsia="仿宋"/>
          <w:bCs/>
          <w:color w:val="000000"/>
          <w:kern w:val="0"/>
          <w:sz w:val="32"/>
          <w:szCs w:val="32"/>
        </w:rPr>
      </w:pPr>
      <w:r>
        <w:rPr>
          <w:rFonts w:hint="eastAsia" w:ascii="仿宋" w:hAnsi="仿宋" w:eastAsia="仿宋"/>
          <w:bCs/>
          <w:color w:val="000000"/>
          <w:kern w:val="0"/>
          <w:sz w:val="32"/>
          <w:szCs w:val="32"/>
        </w:rPr>
        <w:t>6.研究、分析信访情况，开展调查研究，及时向市委、市政府提出完善政策和改进工作的建议。</w:t>
      </w:r>
    </w:p>
    <w:p>
      <w:pPr>
        <w:widowControl/>
        <w:shd w:val="clear" w:color="auto" w:fill="FFFFFF"/>
        <w:spacing w:line="600" w:lineRule="exact"/>
        <w:ind w:firstLine="637"/>
        <w:jc w:val="left"/>
        <w:rPr>
          <w:rFonts w:ascii="仿宋" w:hAnsi="仿宋" w:eastAsia="仿宋"/>
          <w:bCs/>
          <w:color w:val="000000"/>
          <w:kern w:val="0"/>
          <w:sz w:val="32"/>
          <w:szCs w:val="32"/>
        </w:rPr>
      </w:pPr>
      <w:r>
        <w:rPr>
          <w:rFonts w:hint="eastAsia" w:ascii="仿宋" w:hAnsi="仿宋" w:eastAsia="仿宋"/>
          <w:bCs/>
          <w:color w:val="000000"/>
          <w:kern w:val="0"/>
          <w:sz w:val="32"/>
          <w:szCs w:val="32"/>
        </w:rPr>
        <w:t>7.对市委、市政府其他工作部门和下级人民政府信访工作机构的信访工作进行指导。</w:t>
      </w:r>
    </w:p>
    <w:p>
      <w:pPr>
        <w:widowControl/>
        <w:shd w:val="clear" w:color="auto" w:fill="FFFFFF"/>
        <w:spacing w:line="600" w:lineRule="exact"/>
        <w:ind w:firstLine="640"/>
        <w:jc w:val="left"/>
        <w:rPr>
          <w:rFonts w:ascii="仿宋" w:hAnsi="仿宋" w:eastAsia="仿宋"/>
          <w:bCs/>
          <w:color w:val="000000"/>
          <w:kern w:val="0"/>
          <w:sz w:val="32"/>
          <w:szCs w:val="32"/>
        </w:rPr>
      </w:pPr>
      <w:r>
        <w:rPr>
          <w:rFonts w:hint="eastAsia" w:ascii="仿宋" w:hAnsi="仿宋" w:eastAsia="仿宋"/>
          <w:bCs/>
          <w:color w:val="000000"/>
          <w:kern w:val="0"/>
          <w:sz w:val="32"/>
          <w:szCs w:val="32"/>
        </w:rPr>
        <w:t>8.承担市信访工作联席会议办公室的日常工作。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9.承担上级信访部门和市委、市政府批办、交办的其他工作。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2020年，我市信访工作坚持以习近平新时代中国特色社会主义思想为指导，深入学习贯彻习近平总书记关于加强和改进人民信访工作的重要思想，全面贯彻落实党的十九届四中、五中全会精神及中央、省、市关于信访工作决策部署，紧紧围绕市委“一二三五”总体工作思路，切实为我市经济社会发展营造了良好的社会环境。</w:t>
      </w:r>
      <w:r>
        <w:rPr>
          <w:rFonts w:hint="eastAsia" w:hAnsi="宋体" w:cs="仿宋_GB2312"/>
          <w:b/>
          <w:sz w:val="32"/>
          <w:szCs w:val="32"/>
        </w:rPr>
        <w:t>一是坚持围绕中心，服务社会稳定大局。</w:t>
      </w:r>
      <w:r>
        <w:rPr>
          <w:rFonts w:eastAsia="方正仿宋_GBK"/>
          <w:sz w:val="33"/>
          <w:szCs w:val="33"/>
        </w:rPr>
        <w:t>依托“智慧信访”大数据平台融合分析功能，建立健全渠道畅通反应快速的信访信息报送通报和落查反馈机制，全天候不间断开展信访情报信息预测预警预防工作</w:t>
      </w:r>
      <w:r>
        <w:rPr>
          <w:rFonts w:hint="eastAsia" w:eastAsia="方正仿宋_GBK"/>
          <w:sz w:val="33"/>
          <w:szCs w:val="33"/>
        </w:rPr>
        <w:t>；</w:t>
      </w:r>
      <w:r>
        <w:rPr>
          <w:rFonts w:eastAsia="方正仿宋_GBK"/>
          <w:sz w:val="33"/>
          <w:szCs w:val="33"/>
        </w:rPr>
        <w:t>围绕当前我市棚改信访问题较为突出，制定印发《攀枝花市信访局突发事件应急预案（试行）》《攀枝花市棚改工作攻坚期间信访应急处置预案（试行）》等制度</w:t>
      </w:r>
      <w:r>
        <w:rPr>
          <w:rFonts w:hint="eastAsia" w:eastAsia="方正仿宋_GBK"/>
          <w:sz w:val="33"/>
          <w:szCs w:val="33"/>
        </w:rPr>
        <w:t>；</w:t>
      </w:r>
      <w:r>
        <w:rPr>
          <w:rFonts w:eastAsia="方正仿宋_GBK"/>
          <w:sz w:val="33"/>
          <w:szCs w:val="33"/>
        </w:rPr>
        <w:t>持续开展市委市政府门口等重要场所涉访违法行为治理，严格落实到市集访接待劝离处置责任。</w:t>
      </w:r>
      <w:r>
        <w:rPr>
          <w:rFonts w:hint="eastAsia" w:hAnsi="宋体" w:cs="仿宋_GB2312"/>
          <w:b/>
          <w:sz w:val="32"/>
          <w:szCs w:val="32"/>
        </w:rPr>
        <w:t>二是</w:t>
      </w:r>
      <w:r>
        <w:rPr>
          <w:rFonts w:hAnsi="宋体" w:cs="仿宋_GB2312"/>
          <w:b/>
          <w:sz w:val="32"/>
          <w:szCs w:val="32"/>
        </w:rPr>
        <w:t>围绕事要解决，积极化解信访矛盾。</w:t>
      </w:r>
      <w:r>
        <w:rPr>
          <w:rFonts w:eastAsia="方正仿宋_GBK"/>
          <w:sz w:val="33"/>
          <w:szCs w:val="33"/>
        </w:rPr>
        <w:t>主动融入省委巡视工作，积极稳妥推动群众诉求得到解决</w:t>
      </w:r>
      <w:r>
        <w:rPr>
          <w:rFonts w:hint="eastAsia" w:eastAsia="方正仿宋_GBK"/>
          <w:sz w:val="33"/>
          <w:szCs w:val="33"/>
        </w:rPr>
        <w:t>；</w:t>
      </w:r>
      <w:r>
        <w:rPr>
          <w:rFonts w:eastAsia="方正仿宋_GBK"/>
          <w:sz w:val="33"/>
          <w:szCs w:val="33"/>
        </w:rPr>
        <w:t>扎实开展重复信访治理化解信访积案专项行动</w:t>
      </w:r>
      <w:r>
        <w:rPr>
          <w:rFonts w:hint="eastAsia" w:ascii="Times New Roman" w:eastAsia="方正仿宋_GBK"/>
          <w:sz w:val="33"/>
          <w:szCs w:val="33"/>
        </w:rPr>
        <w:t>，</w:t>
      </w:r>
      <w:r>
        <w:rPr>
          <w:rFonts w:eastAsia="方正仿宋_GBK"/>
          <w:sz w:val="33"/>
          <w:szCs w:val="33"/>
        </w:rPr>
        <w:t>中省两级交办我市</w:t>
      </w:r>
      <w:r>
        <w:rPr>
          <w:rFonts w:hint="eastAsia" w:eastAsia="方正仿宋_GBK"/>
          <w:sz w:val="33"/>
          <w:szCs w:val="33"/>
        </w:rPr>
        <w:t>的</w:t>
      </w:r>
      <w:r>
        <w:rPr>
          <w:rFonts w:eastAsia="方正仿宋_GBK"/>
          <w:sz w:val="33"/>
          <w:szCs w:val="33"/>
        </w:rPr>
        <w:t>重复信访事项，已全部点对点交办至</w:t>
      </w:r>
      <w:r>
        <w:rPr>
          <w:rFonts w:hint="eastAsia" w:eastAsia="方正仿宋_GBK"/>
          <w:sz w:val="33"/>
          <w:szCs w:val="33"/>
        </w:rPr>
        <w:t>相关</w:t>
      </w:r>
      <w:r>
        <w:rPr>
          <w:rFonts w:eastAsia="方正仿宋_GBK"/>
          <w:sz w:val="33"/>
          <w:szCs w:val="33"/>
        </w:rPr>
        <w:t>责任单位（部门）。</w:t>
      </w:r>
      <w:r>
        <w:rPr>
          <w:rFonts w:eastAsia="方正仿宋_GBK"/>
          <w:b/>
          <w:bCs/>
          <w:sz w:val="33"/>
          <w:szCs w:val="33"/>
        </w:rPr>
        <w:t>持续推进信访矛盾化解攻坚工作</w:t>
      </w:r>
      <w:r>
        <w:rPr>
          <w:rFonts w:hint="eastAsia" w:eastAsia="方正仿宋_GBK"/>
          <w:b/>
          <w:bCs/>
          <w:sz w:val="33"/>
          <w:szCs w:val="33"/>
        </w:rPr>
        <w:t>，</w:t>
      </w:r>
      <w:r>
        <w:rPr>
          <w:rFonts w:hint="eastAsia" w:eastAsia="方正仿宋_GBK"/>
          <w:sz w:val="33"/>
          <w:szCs w:val="33"/>
        </w:rPr>
        <w:t>全</w:t>
      </w:r>
      <w:r>
        <w:rPr>
          <w:rFonts w:eastAsia="方正仿宋_GBK"/>
          <w:sz w:val="33"/>
          <w:szCs w:val="33"/>
        </w:rPr>
        <w:t>市排查交办信访矛盾化解攻坚重点信访事项，已全部办结化解。</w:t>
      </w:r>
      <w:r>
        <w:rPr>
          <w:rFonts w:hint="eastAsia" w:hAnsi="宋体" w:cs="仿宋_GB2312"/>
          <w:b/>
          <w:sz w:val="32"/>
          <w:szCs w:val="32"/>
        </w:rPr>
        <w:t>三是</w:t>
      </w:r>
      <w:r>
        <w:rPr>
          <w:rFonts w:hAnsi="宋体" w:cs="仿宋_GB2312"/>
          <w:b/>
          <w:sz w:val="32"/>
          <w:szCs w:val="32"/>
        </w:rPr>
        <w:t>强化能力建设，夯实信访基层基础。</w:t>
      </w:r>
      <w:r>
        <w:rPr>
          <w:rFonts w:eastAsia="方正仿宋_GBK"/>
          <w:sz w:val="33"/>
          <w:szCs w:val="33"/>
        </w:rPr>
        <w:t>重建了市信访局门户网站，印发了网站管理办法，增设了局长信箱等信访渠道</w:t>
      </w:r>
      <w:r>
        <w:rPr>
          <w:rFonts w:hint="eastAsia" w:eastAsia="方正仿宋_GBK"/>
          <w:sz w:val="33"/>
          <w:szCs w:val="33"/>
        </w:rPr>
        <w:t>；</w:t>
      </w:r>
      <w:r>
        <w:rPr>
          <w:rFonts w:eastAsia="方正仿宋_GBK"/>
          <w:sz w:val="33"/>
          <w:szCs w:val="33"/>
        </w:rPr>
        <w:t>全面优化了市长信箱功能，新设置了网民实名制模块，进一步提高了信访事项办理质效</w:t>
      </w:r>
      <w:r>
        <w:rPr>
          <w:rFonts w:hint="eastAsia" w:eastAsia="方正仿宋_GBK"/>
          <w:sz w:val="33"/>
          <w:szCs w:val="33"/>
        </w:rPr>
        <w:t>；</w:t>
      </w:r>
      <w:r>
        <w:rPr>
          <w:rFonts w:eastAsia="方正仿宋_GBK"/>
          <w:bCs/>
          <w:sz w:val="33"/>
          <w:szCs w:val="33"/>
        </w:rPr>
        <w:t>积极主动应对疫情形势变化带来的信访问题，</w:t>
      </w:r>
      <w:r>
        <w:rPr>
          <w:rFonts w:eastAsia="方正仿宋_GBK"/>
          <w:sz w:val="33"/>
          <w:szCs w:val="33"/>
        </w:rPr>
        <w:t>因时因势调整信访工作重心和方向，印发了相关制度，</w:t>
      </w:r>
      <w:r>
        <w:rPr>
          <w:rFonts w:eastAsia="方正仿宋_GBK"/>
          <w:bCs/>
          <w:sz w:val="33"/>
          <w:szCs w:val="33"/>
        </w:rPr>
        <w:t>推行疫情期间接访大厅24小时值守、重点信访场所驻守和“一线”联防联控等制度</w:t>
      </w:r>
      <w:r>
        <w:rPr>
          <w:rFonts w:eastAsia="方正仿宋_GBK"/>
          <w:sz w:val="33"/>
          <w:szCs w:val="33"/>
        </w:rPr>
        <w:t>，推行“不见面”接访方式</w:t>
      </w:r>
      <w:r>
        <w:rPr>
          <w:rFonts w:hint="eastAsia" w:eastAsia="方正仿宋_GBK"/>
          <w:bCs/>
          <w:sz w:val="33"/>
          <w:szCs w:val="33"/>
        </w:rPr>
        <w:t>。</w:t>
      </w:r>
      <w:r>
        <w:rPr>
          <w:rFonts w:hint="eastAsia" w:hAnsi="宋体" w:cs="仿宋_GB2312"/>
          <w:b/>
          <w:sz w:val="32"/>
          <w:szCs w:val="32"/>
        </w:rPr>
        <w:t>四是狠抓队伍建设，提升干部综合能力。</w:t>
      </w:r>
      <w:r>
        <w:rPr>
          <w:rFonts w:eastAsia="方正仿宋_GBK"/>
          <w:bCs/>
          <w:sz w:val="33"/>
          <w:szCs w:val="33"/>
        </w:rPr>
        <w:t>持续深化巩固“不忘初心、牢记使命”主题教育成果，按照“守纪律、提效能、强执行、做表率”活动和“亲历体验、为民服务”工作</w:t>
      </w:r>
      <w:r>
        <w:rPr>
          <w:rFonts w:hint="eastAsia" w:eastAsia="方正仿宋_GBK"/>
          <w:bCs/>
          <w:sz w:val="33"/>
          <w:szCs w:val="33"/>
        </w:rPr>
        <w:t>成果；</w:t>
      </w:r>
      <w:r>
        <w:rPr>
          <w:rFonts w:eastAsia="方正仿宋_GBK"/>
          <w:bCs/>
          <w:sz w:val="33"/>
          <w:szCs w:val="33"/>
        </w:rPr>
        <w:t>持续加大学习力度，提升信访干部专业能力水平。</w:t>
      </w:r>
    </w:p>
    <w:p>
      <w:pPr>
        <w:pStyle w:val="3"/>
        <w:rPr>
          <w:rStyle w:val="1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ind w:firstLine="800" w:firstLineChars="250"/>
        <w:rPr>
          <w:rFonts w:eastAsia="仿宋"/>
          <w:sz w:val="32"/>
          <w:szCs w:val="32"/>
        </w:rPr>
      </w:pPr>
      <w:r>
        <w:rPr>
          <w:rFonts w:hint="eastAsia" w:eastAsia="仿宋"/>
          <w:sz w:val="32"/>
          <w:szCs w:val="32"/>
        </w:rPr>
        <w:t>市信访局下属二级单位1个，其中行政单位0个，参照公务员法管理的事业单位</w:t>
      </w:r>
      <w:r>
        <w:rPr>
          <w:rFonts w:hint="eastAsia" w:eastAsia="仿宋"/>
          <w:bCs/>
          <w:sz w:val="32"/>
          <w:szCs w:val="32"/>
        </w:rPr>
        <w:t>0</w:t>
      </w:r>
      <w:r>
        <w:rPr>
          <w:rFonts w:hint="eastAsia" w:eastAsia="仿宋"/>
          <w:sz w:val="32"/>
          <w:szCs w:val="32"/>
        </w:rPr>
        <w:t>个，其他事业单位1个。</w:t>
      </w:r>
    </w:p>
    <w:p>
      <w:pPr>
        <w:pStyle w:val="5"/>
        <w:adjustRightInd w:val="0"/>
        <w:snapToGrid w:val="0"/>
        <w:spacing w:before="93" w:line="600" w:lineRule="exact"/>
        <w:ind w:firstLine="800" w:firstLineChars="250"/>
        <w:rPr>
          <w:rFonts w:ascii="Times New Roman" w:eastAsia="仿宋"/>
          <w:color w:val="000000"/>
          <w:sz w:val="32"/>
          <w:szCs w:val="32"/>
        </w:rPr>
      </w:pPr>
      <w:r>
        <w:rPr>
          <w:rFonts w:hint="eastAsia" w:ascii="Times New Roman" w:eastAsia="仿宋"/>
          <w:color w:val="000000"/>
          <w:sz w:val="32"/>
          <w:szCs w:val="32"/>
        </w:rPr>
        <w:t>纳入攀枝花市信访局</w:t>
      </w:r>
      <w:r>
        <w:rPr>
          <w:rFonts w:ascii="Times New Roman" w:eastAsia="仿宋"/>
          <w:color w:val="000000"/>
          <w:sz w:val="32"/>
          <w:szCs w:val="32"/>
        </w:rPr>
        <w:t>20</w:t>
      </w:r>
      <w:r>
        <w:rPr>
          <w:rFonts w:hint="eastAsia" w:ascii="Times New Roman" w:eastAsia="仿宋"/>
          <w:color w:val="000000"/>
          <w:sz w:val="32"/>
          <w:szCs w:val="32"/>
        </w:rPr>
        <w:t>20年度部门决算编制范围的二级预算单位：无。</w:t>
      </w:r>
    </w:p>
    <w:p>
      <w:bookmarkStart w:id="22" w:name="_Toc15396602"/>
      <w:bookmarkStart w:id="23" w:name="_Toc15377204"/>
    </w:p>
    <w:p/>
    <w:p/>
    <w:p/>
    <w:p/>
    <w:p/>
    <w:p/>
    <w:p/>
    <w:p/>
    <w:p/>
    <w:p/>
    <w:p/>
    <w:p/>
    <w:p/>
    <w:p/>
    <w:p>
      <w:pPr>
        <w:pStyle w:val="2"/>
        <w:ind w:right="440"/>
        <w:jc w:val="right"/>
        <w:rPr>
          <w:rStyle w:val="17"/>
          <w:rFonts w:ascii="黑体" w:hAnsi="黑体" w:eastAsia="黑体"/>
          <w:b w:val="0"/>
          <w:bCs w:val="0"/>
        </w:rPr>
      </w:pPr>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eastAsia="仿宋"/>
          <w:sz w:val="32"/>
          <w:szCs w:val="32"/>
        </w:rPr>
      </w:pPr>
      <w:r>
        <w:rPr>
          <w:rFonts w:hint="eastAsia" w:eastAsia="仿宋"/>
          <w:sz w:val="32"/>
          <w:szCs w:val="32"/>
        </w:rPr>
        <w:drawing>
          <wp:anchor distT="0" distB="0" distL="114300" distR="114300" simplePos="0" relativeHeight="251666432" behindDoc="1" locked="0" layoutInCell="1" allowOverlap="1">
            <wp:simplePos x="0" y="0"/>
            <wp:positionH relativeFrom="column">
              <wp:posOffset>32385</wp:posOffset>
            </wp:positionH>
            <wp:positionV relativeFrom="paragraph">
              <wp:posOffset>1271270</wp:posOffset>
            </wp:positionV>
            <wp:extent cx="5276850" cy="2808605"/>
            <wp:effectExtent l="19050" t="0" r="0" b="0"/>
            <wp:wrapTight wrapText="bothSides">
              <wp:wrapPolygon>
                <wp:start x="-78" y="0"/>
                <wp:lineTo x="-78" y="21390"/>
                <wp:lineTo x="21600" y="21390"/>
                <wp:lineTo x="21600" y="0"/>
                <wp:lineTo x="-78" y="0"/>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仿宋"/>
          <w:sz w:val="32"/>
          <w:szCs w:val="32"/>
        </w:rPr>
        <w:t>2020年度收入485.87万元，较上年减少56.68万元，同比下降10.45%；支出474.59万元，较上年减少27.95万元，同比下降5.56%。年末结转和结余11.27万元。</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eastAsia="仿宋"/>
          <w:sz w:val="32"/>
          <w:szCs w:val="32"/>
        </w:rPr>
      </w:pPr>
      <w:r>
        <w:rPr>
          <w:rFonts w:hint="eastAsia" w:eastAsia="仿宋"/>
          <w:sz w:val="32"/>
          <w:szCs w:val="32"/>
        </w:rPr>
        <w:t>2020年本年收入合计445.87万元，其中：一般公共预算财政拨款收入440.83万元，占98.87</w:t>
      </w:r>
      <w:r>
        <w:rPr>
          <w:rFonts w:eastAsia="仿宋"/>
          <w:sz w:val="32"/>
          <w:szCs w:val="32"/>
        </w:rPr>
        <w:t>%</w:t>
      </w:r>
      <w:r>
        <w:rPr>
          <w:rFonts w:hint="eastAsia" w:eastAsia="仿宋"/>
          <w:sz w:val="32"/>
          <w:szCs w:val="32"/>
        </w:rPr>
        <w:t>；政府性基金预算财政拨款收入5万元，占1.12</w:t>
      </w:r>
      <w:r>
        <w:rPr>
          <w:rFonts w:eastAsia="仿宋"/>
          <w:sz w:val="32"/>
          <w:szCs w:val="32"/>
        </w:rPr>
        <w:t>%</w:t>
      </w:r>
      <w:r>
        <w:rPr>
          <w:rFonts w:hint="eastAsia" w:eastAsia="仿宋"/>
          <w:sz w:val="32"/>
          <w:szCs w:val="32"/>
        </w:rPr>
        <w:t>；其他收入0.04万元，占0.01</w:t>
      </w:r>
      <w:r>
        <w:rPr>
          <w:rFonts w:eastAsia="仿宋"/>
          <w:sz w:val="32"/>
          <w:szCs w:val="32"/>
        </w:rPr>
        <w:t>%</w:t>
      </w:r>
      <w:r>
        <w:rPr>
          <w:rFonts w:hint="eastAsia" w:eastAsia="仿宋"/>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114935</wp:posOffset>
            </wp:positionV>
            <wp:extent cx="5277485" cy="2767330"/>
            <wp:effectExtent l="19050" t="0" r="0" b="0"/>
            <wp:wrapSquare wrapText="bothSides"/>
            <wp:docPr id="16" name="对象 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5504815" cy="4053205"/>
                      <a:chOff x="0" y="0"/>
                      <a:chExt cx="5504815" cy="4053205"/>
                    </a:xfrm>
                  </a:grpSpPr>
                  <a:grpSp>
                    <a:nvGrpSpPr>
                      <a:cNvPr id="6" name="组合 5"/>
                      <a:cNvGrpSpPr/>
                    </a:nvGrpSpPr>
                    <a:grpSpPr>
                      <a:xfrm>
                        <a:off x="0" y="0"/>
                        <a:ext cx="5504815" cy="4053205"/>
                        <a:chOff x="0" y="0"/>
                        <a:chExt cx="8212" cy="6383"/>
                      </a:xfrm>
                    </a:grpSpPr>
                    <a:graphicFrame>
                      <a:nvGraphicFramePr>
                        <a:cNvPr id="2" name="图表 1"/>
                        <a:cNvGraphicFramePr/>
                      </a:nvGraphicFramePr>
                      <a:graphic>
                        <a:graphicData uri="http://schemas.openxmlformats.org/drawingml/2006/chart">
                          <c:chart xmlns:c="http://schemas.openxmlformats.org/drawingml/2006/chart" xmlns:r="http://schemas.openxmlformats.org/officeDocument/2006/relationships" r:id="rId7"/>
                        </a:graphicData>
                      </a:graphic>
                      <a:xfrm>
                        <a:off x="0" y="0"/>
                        <a:ext cx="8212" cy="6383"/>
                      </a:xfrm>
                    </a:graphicFrame>
                    <a:sp>
                      <a:nvSpPr>
                        <a:cNvPr id="5" name="文本框 4"/>
                        <a:cNvSpPr txBox="true"/>
                      </a:nvSpPr>
                      <a:spPr>
                        <a:xfrm>
                          <a:off x="6779" y="58"/>
                          <a:ext cx="1393" cy="431"/>
                        </a:xfrm>
                        <a:prstGeom prst="rect">
                          <a:avLst/>
                        </a:prstGeom>
                      </a:spPr>
                      <a:txSp>
                        <a:txBody>
                          <a:bodyPr vertOverflow="clip" horz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l"/>
                            <a:r>
                              <a:rPr lang="zh-CN" altLang="en-US" sz="1100" b="1">
                                <a:solidFill>
                                  <a:schemeClr val="bg1"/>
                                </a:solidFill>
                              </a:rPr>
                              <a:t>单位：万元</a:t>
                            </a:r>
                            <a:endParaRPr lang="zh-CN" altLang="en-US" sz="1100" b="1">
                              <a:solidFill>
                                <a:schemeClr val="bg1"/>
                              </a:solidFill>
                            </a:endParaRPr>
                          </a:p>
                        </a:txBody>
                        <a:useSpRect/>
                      </a:txSp>
                      <a:style>
                        <a:lnRef idx="0">
                          <a:scrgbClr r="0" g="0" b="0"/>
                        </a:lnRef>
                        <a:fillRef idx="0">
                          <a:scrgbClr r="0" g="0" b="0"/>
                        </a:fillRef>
                        <a:effectRef idx="0">
                          <a:scrgbClr r="0" g="0" b="0"/>
                        </a:effectRef>
                        <a:fontRef idx="minor">
                          <a:schemeClr val="tx1"/>
                        </a:fontRef>
                      </a:style>
                    </a:sp>
                  </a:grpSp>
                </lc:lockedCanvas>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bookmarkStart w:id="28" w:name="_Toc15396605"/>
      <w:bookmarkStart w:id="29" w:name="_Toc15377207"/>
    </w:p>
    <w:p>
      <w:pPr>
        <w:spacing w:line="600" w:lineRule="exact"/>
        <w:ind w:firstLine="642" w:firstLineChars="200"/>
        <w:rPr>
          <w:rStyle w:val="18"/>
          <w:rFonts w:ascii="黑体" w:hAnsi="黑体" w:eastAsia="黑体"/>
          <w:b w:val="0"/>
        </w:rPr>
      </w:pPr>
      <w:r>
        <w:rPr>
          <w:rStyle w:val="18"/>
          <w:rFonts w:hint="eastAsia" w:ascii="黑体" w:hAnsi="黑体" w:eastAsia="黑体"/>
        </w:rPr>
        <w:t>三、</w:t>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eastAsia="仿宋"/>
          <w:sz w:val="32"/>
          <w:szCs w:val="32"/>
        </w:rPr>
      </w:pPr>
      <w:r>
        <w:rPr>
          <w:rFonts w:eastAsia="仿宋"/>
          <w:sz w:val="32"/>
          <w:szCs w:val="32"/>
        </w:rPr>
        <w:drawing>
          <wp:anchor distT="0" distB="0" distL="114300" distR="114300" simplePos="0" relativeHeight="251660288" behindDoc="0" locked="0" layoutInCell="1" allowOverlap="1">
            <wp:simplePos x="0" y="0"/>
            <wp:positionH relativeFrom="column">
              <wp:posOffset>20955</wp:posOffset>
            </wp:positionH>
            <wp:positionV relativeFrom="paragraph">
              <wp:posOffset>957580</wp:posOffset>
            </wp:positionV>
            <wp:extent cx="5227955" cy="2594610"/>
            <wp:effectExtent l="19050" t="0" r="0" b="0"/>
            <wp:wrapSquare wrapText="bothSides"/>
            <wp:docPr id="17" name="图表 17"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
          <w:sz w:val="32"/>
          <w:szCs w:val="32"/>
        </w:rPr>
        <w:t>20</w:t>
      </w:r>
      <w:r>
        <w:rPr>
          <w:rFonts w:hint="eastAsia" w:eastAsia="仿宋"/>
          <w:sz w:val="32"/>
          <w:szCs w:val="32"/>
        </w:rPr>
        <w:t>20年本年支出合计474.59万元，其中：基本支出370.16万元，占78</w:t>
      </w:r>
      <w:r>
        <w:rPr>
          <w:rFonts w:eastAsia="仿宋"/>
          <w:sz w:val="32"/>
          <w:szCs w:val="32"/>
        </w:rPr>
        <w:t xml:space="preserve"> %</w:t>
      </w:r>
      <w:r>
        <w:rPr>
          <w:rFonts w:hint="eastAsia" w:eastAsia="仿宋"/>
          <w:sz w:val="32"/>
          <w:szCs w:val="32"/>
        </w:rPr>
        <w:t>；项目支出104.43万元，占22</w:t>
      </w:r>
      <w:r>
        <w:rPr>
          <w:rFonts w:eastAsia="仿宋"/>
          <w:sz w:val="32"/>
          <w:szCs w:val="32"/>
        </w:rPr>
        <w:t>%</w:t>
      </w:r>
      <w:r>
        <w:rPr>
          <w:rFonts w:hint="eastAsia" w:eastAsia="仿宋"/>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rPr>
          <w:rFonts w:eastAsia="仿宋"/>
          <w:sz w:val="32"/>
          <w:szCs w:val="32"/>
        </w:rPr>
      </w:pPr>
      <w:r>
        <w:rPr>
          <w:rFonts w:eastAsia="仿宋"/>
          <w:sz w:val="32"/>
          <w:szCs w:val="32"/>
        </w:rPr>
        <w:drawing>
          <wp:anchor distT="0" distB="0" distL="114300" distR="114300" simplePos="0" relativeHeight="251661312" behindDoc="0" locked="0" layoutInCell="1" allowOverlap="1">
            <wp:simplePos x="0" y="0"/>
            <wp:positionH relativeFrom="column">
              <wp:posOffset>-28575</wp:posOffset>
            </wp:positionH>
            <wp:positionV relativeFrom="paragraph">
              <wp:posOffset>1317625</wp:posOffset>
            </wp:positionV>
            <wp:extent cx="5277485" cy="2668905"/>
            <wp:effectExtent l="19050" t="0" r="0" b="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20</w:t>
      </w:r>
      <w:r>
        <w:rPr>
          <w:rFonts w:hint="eastAsia" w:eastAsia="仿宋"/>
          <w:sz w:val="32"/>
          <w:szCs w:val="32"/>
        </w:rPr>
        <w:t>20年财政拨款收入445.87万元，比上年减少56.22万元，下降11.2%；财政拨款支出474.59万元，较上年减少27.95万元，同比下降5.56%。</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2336" behindDoc="0" locked="0" layoutInCell="1" allowOverlap="1">
            <wp:simplePos x="0" y="0"/>
            <wp:positionH relativeFrom="column">
              <wp:posOffset>267970</wp:posOffset>
            </wp:positionH>
            <wp:positionV relativeFrom="paragraph">
              <wp:posOffset>1155700</wp:posOffset>
            </wp:positionV>
            <wp:extent cx="5030470" cy="2108835"/>
            <wp:effectExtent l="19050" t="0" r="0" b="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20</w:t>
      </w:r>
      <w:r>
        <w:rPr>
          <w:rFonts w:hint="eastAsia" w:eastAsia="仿宋"/>
          <w:sz w:val="32"/>
          <w:szCs w:val="32"/>
        </w:rPr>
        <w:t>20年一般公共预算财政拨款支出469.59万元，占本年支出合计的100</w:t>
      </w:r>
      <w:r>
        <w:rPr>
          <w:rFonts w:eastAsia="仿宋"/>
          <w:sz w:val="32"/>
          <w:szCs w:val="32"/>
        </w:rPr>
        <w:t>%</w:t>
      </w:r>
      <w:r>
        <w:rPr>
          <w:rFonts w:hint="eastAsia" w:eastAsia="仿宋"/>
          <w:sz w:val="32"/>
          <w:szCs w:val="32"/>
        </w:rPr>
        <w:t>。与</w:t>
      </w:r>
      <w:r>
        <w:rPr>
          <w:rFonts w:eastAsia="仿宋"/>
          <w:sz w:val="32"/>
          <w:szCs w:val="32"/>
        </w:rPr>
        <w:t>201</w:t>
      </w:r>
      <w:r>
        <w:rPr>
          <w:rFonts w:hint="eastAsia" w:eastAsia="仿宋"/>
          <w:sz w:val="32"/>
          <w:szCs w:val="32"/>
        </w:rPr>
        <w:t>9年相比，一般公共预算财政拨款减少31.76万元，下降6.73</w:t>
      </w:r>
      <w:r>
        <w:rPr>
          <w:rFonts w:eastAsia="仿宋"/>
          <w:sz w:val="32"/>
          <w:szCs w:val="32"/>
        </w:rPr>
        <w:t>%</w:t>
      </w:r>
      <w:r>
        <w:rPr>
          <w:rFonts w:hint="eastAsia" w:eastAsia="仿宋"/>
          <w:sz w:val="32"/>
          <w:szCs w:val="32"/>
        </w:rPr>
        <w:t>。</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eastAsia="仿宋"/>
          <w:sz w:val="32"/>
          <w:szCs w:val="32"/>
        </w:rPr>
      </w:pPr>
      <w:r>
        <w:rPr>
          <w:rFonts w:eastAsia="仿宋"/>
          <w:sz w:val="32"/>
          <w:szCs w:val="32"/>
        </w:rPr>
        <w:drawing>
          <wp:anchor distT="0" distB="0" distL="114300" distR="114300" simplePos="0" relativeHeight="251668480" behindDoc="1" locked="0" layoutInCell="1" allowOverlap="1">
            <wp:simplePos x="0" y="0"/>
            <wp:positionH relativeFrom="column">
              <wp:posOffset>127635</wp:posOffset>
            </wp:positionH>
            <wp:positionV relativeFrom="paragraph">
              <wp:posOffset>1793240</wp:posOffset>
            </wp:positionV>
            <wp:extent cx="5194935" cy="2528570"/>
            <wp:effectExtent l="19050" t="0" r="5715" b="0"/>
            <wp:wrapTight wrapText="bothSides">
              <wp:wrapPolygon>
                <wp:start x="-79" y="0"/>
                <wp:lineTo x="-79" y="21481"/>
                <wp:lineTo x="21624" y="21481"/>
                <wp:lineTo x="21624" y="0"/>
                <wp:lineTo x="-79" y="0"/>
              </wp:wrapPolygon>
            </wp:wrapTight>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sz w:val="32"/>
          <w:szCs w:val="32"/>
        </w:rPr>
        <w:t>20</w:t>
      </w:r>
      <w:r>
        <w:rPr>
          <w:rFonts w:hint="eastAsia" w:eastAsia="仿宋"/>
          <w:sz w:val="32"/>
          <w:szCs w:val="32"/>
        </w:rPr>
        <w:t>20年一般公共预算财政拨款支出469.59万元，主要用于以下方面</w:t>
      </w:r>
      <w:r>
        <w:rPr>
          <w:rFonts w:eastAsia="仿宋"/>
          <w:sz w:val="32"/>
          <w:szCs w:val="32"/>
        </w:rPr>
        <w:t>:</w:t>
      </w:r>
      <w:r>
        <w:rPr>
          <w:rFonts w:hint="eastAsia" w:eastAsia="仿宋"/>
          <w:b/>
          <w:sz w:val="32"/>
          <w:szCs w:val="32"/>
        </w:rPr>
        <w:t>一般公共服务（类）</w:t>
      </w:r>
      <w:r>
        <w:rPr>
          <w:rFonts w:hint="eastAsia" w:eastAsia="仿宋"/>
          <w:sz w:val="32"/>
          <w:szCs w:val="32"/>
        </w:rPr>
        <w:t>支出407.86万元，占86.85</w:t>
      </w:r>
      <w:r>
        <w:rPr>
          <w:rFonts w:eastAsia="仿宋"/>
          <w:sz w:val="32"/>
          <w:szCs w:val="32"/>
        </w:rPr>
        <w:t>%</w:t>
      </w:r>
      <w:r>
        <w:rPr>
          <w:rFonts w:hint="eastAsia" w:eastAsia="仿宋"/>
          <w:sz w:val="32"/>
          <w:szCs w:val="32"/>
        </w:rPr>
        <w:t>；</w:t>
      </w:r>
      <w:r>
        <w:rPr>
          <w:rFonts w:hint="eastAsia" w:eastAsia="仿宋"/>
          <w:b/>
          <w:sz w:val="32"/>
          <w:szCs w:val="32"/>
        </w:rPr>
        <w:t>社会保障和就业（类）</w:t>
      </w:r>
      <w:r>
        <w:rPr>
          <w:rFonts w:hint="eastAsia" w:eastAsia="仿宋"/>
          <w:sz w:val="32"/>
          <w:szCs w:val="32"/>
        </w:rPr>
        <w:t>支出34.72万元，占7.39</w:t>
      </w:r>
      <w:r>
        <w:rPr>
          <w:rFonts w:eastAsia="仿宋"/>
          <w:sz w:val="32"/>
          <w:szCs w:val="32"/>
        </w:rPr>
        <w:t>%</w:t>
      </w:r>
      <w:r>
        <w:rPr>
          <w:rFonts w:hint="eastAsia" w:eastAsia="仿宋"/>
          <w:sz w:val="32"/>
          <w:szCs w:val="32"/>
        </w:rPr>
        <w:t>；住房保障支出27.01万元，占5.75</w:t>
      </w:r>
      <w:r>
        <w:rPr>
          <w:rFonts w:eastAsia="仿宋"/>
          <w:sz w:val="32"/>
          <w:szCs w:val="32"/>
        </w:rPr>
        <w:t>%</w:t>
      </w:r>
      <w:r>
        <w:rPr>
          <w:rFonts w:hint="eastAsia" w:eastAsia="仿宋"/>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444"/>
      <w:bookmarkStart w:id="38" w:name="_Toc15378460"/>
      <w:bookmarkStart w:id="39" w:name="_Toc15377213"/>
      <w:r>
        <w:rPr>
          <w:rFonts w:ascii="仿宋" w:hAnsi="仿宋" w:eastAsia="仿宋"/>
          <w:b/>
          <w:sz w:val="32"/>
          <w:szCs w:val="32"/>
        </w:rPr>
        <w:t>2020</w:t>
      </w:r>
      <w:r>
        <w:rPr>
          <w:rFonts w:hint="eastAsia" w:ascii="仿宋" w:hAnsi="仿宋" w:eastAsia="仿宋"/>
          <w:b/>
          <w:sz w:val="32"/>
          <w:szCs w:val="32"/>
        </w:rPr>
        <w:t>年一般公共预算支出决算数为469.59万元</w:t>
      </w:r>
      <w:r>
        <w:rPr>
          <w:rFonts w:hint="eastAsia" w:ascii="仿宋" w:hAnsi="仿宋" w:eastAsia="仿宋"/>
          <w:sz w:val="32"/>
          <w:szCs w:val="32"/>
        </w:rPr>
        <w:t>，</w:t>
      </w:r>
      <w:r>
        <w:rPr>
          <w:rStyle w:val="15"/>
          <w:rFonts w:hint="eastAsia" w:ascii="仿宋" w:hAnsi="仿宋" w:eastAsia="仿宋"/>
          <w:bCs/>
          <w:sz w:val="32"/>
          <w:szCs w:val="32"/>
        </w:rPr>
        <w:t>完成预算105.32</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360" w:lineRule="auto"/>
        <w:ind w:firstLine="642" w:firstLineChars="200"/>
        <w:rPr>
          <w:rFonts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w:t>
      </w:r>
      <w:r>
        <w:rPr>
          <w:rStyle w:val="15"/>
          <w:rFonts w:hint="eastAsia" w:eastAsia="仿宋"/>
          <w:bCs/>
          <w:sz w:val="32"/>
          <w:szCs w:val="32"/>
        </w:rPr>
        <w:t>：行政运行（项）</w:t>
      </w:r>
      <w:r>
        <w:rPr>
          <w:rStyle w:val="15"/>
          <w:rFonts w:hint="eastAsia" w:eastAsia="仿宋"/>
          <w:b w:val="0"/>
          <w:bCs/>
          <w:sz w:val="32"/>
          <w:szCs w:val="32"/>
        </w:rPr>
        <w:t>支出决算为214.89万元，完成预算100</w:t>
      </w:r>
      <w:r>
        <w:rPr>
          <w:rStyle w:val="15"/>
          <w:rFonts w:eastAsia="仿宋"/>
          <w:b w:val="0"/>
          <w:bCs/>
          <w:sz w:val="32"/>
          <w:szCs w:val="32"/>
        </w:rPr>
        <w:t>%</w:t>
      </w:r>
      <w:r>
        <w:rPr>
          <w:rStyle w:val="15"/>
          <w:rFonts w:hint="eastAsia" w:eastAsia="仿宋"/>
          <w:b w:val="0"/>
          <w:bCs/>
          <w:sz w:val="32"/>
          <w:szCs w:val="32"/>
        </w:rPr>
        <w:t>。</w:t>
      </w:r>
      <w:r>
        <w:rPr>
          <w:rStyle w:val="15"/>
          <w:rFonts w:hint="eastAsia" w:eastAsia="仿宋"/>
          <w:bCs/>
          <w:sz w:val="32"/>
          <w:szCs w:val="32"/>
        </w:rPr>
        <w:t>一般行政管理事务（项）</w:t>
      </w:r>
      <w:r>
        <w:rPr>
          <w:rStyle w:val="15"/>
          <w:rFonts w:hint="eastAsia" w:eastAsia="仿宋"/>
          <w:b w:val="0"/>
          <w:bCs/>
          <w:sz w:val="32"/>
          <w:szCs w:val="32"/>
        </w:rPr>
        <w:t>支出决算数为8.74万元，完成预算43.7%。</w:t>
      </w:r>
      <w:r>
        <w:rPr>
          <w:rStyle w:val="15"/>
          <w:rFonts w:hint="eastAsia" w:eastAsia="仿宋"/>
          <w:bCs/>
          <w:sz w:val="32"/>
          <w:szCs w:val="32"/>
        </w:rPr>
        <w:t>信访事务（项）</w:t>
      </w:r>
      <w:r>
        <w:rPr>
          <w:rStyle w:val="15"/>
          <w:rFonts w:hint="eastAsia" w:eastAsia="仿宋"/>
          <w:b w:val="0"/>
          <w:bCs/>
          <w:sz w:val="32"/>
          <w:szCs w:val="32"/>
        </w:rPr>
        <w:t>支出决算数为</w:t>
      </w:r>
      <w:r>
        <w:rPr>
          <w:rStyle w:val="15"/>
          <w:rFonts w:eastAsia="仿宋"/>
          <w:b w:val="0"/>
          <w:bCs/>
          <w:sz w:val="32"/>
          <w:szCs w:val="32"/>
        </w:rPr>
        <w:t>90.69</w:t>
      </w:r>
      <w:r>
        <w:rPr>
          <w:rStyle w:val="15"/>
          <w:rFonts w:hint="eastAsia" w:eastAsia="仿宋"/>
          <w:b w:val="0"/>
          <w:bCs/>
          <w:sz w:val="32"/>
          <w:szCs w:val="32"/>
        </w:rPr>
        <w:t>万元，完成预算</w:t>
      </w:r>
      <w:r>
        <w:rPr>
          <w:rStyle w:val="15"/>
          <w:rFonts w:eastAsia="仿宋"/>
          <w:b w:val="0"/>
          <w:bCs/>
          <w:sz w:val="32"/>
          <w:szCs w:val="32"/>
        </w:rPr>
        <w:t>178.91%</w:t>
      </w:r>
      <w:r>
        <w:rPr>
          <w:rStyle w:val="15"/>
          <w:rFonts w:hint="eastAsia" w:eastAsia="仿宋"/>
          <w:b w:val="0"/>
          <w:bCs/>
          <w:sz w:val="32"/>
          <w:szCs w:val="32"/>
        </w:rPr>
        <w:t>，决算数大于预算数，是因为增加了上年结转的项目资金</w:t>
      </w:r>
      <w:r>
        <w:rPr>
          <w:rStyle w:val="15"/>
          <w:rFonts w:eastAsia="仿宋"/>
          <w:b w:val="0"/>
          <w:bCs/>
          <w:sz w:val="32"/>
          <w:szCs w:val="32"/>
        </w:rPr>
        <w:t>40</w:t>
      </w:r>
      <w:r>
        <w:rPr>
          <w:rStyle w:val="15"/>
          <w:rFonts w:hint="eastAsia" w:eastAsia="仿宋"/>
          <w:b w:val="0"/>
          <w:bCs/>
          <w:sz w:val="32"/>
          <w:szCs w:val="32"/>
        </w:rPr>
        <w:t>万元。。</w:t>
      </w:r>
      <w:r>
        <w:rPr>
          <w:rStyle w:val="15"/>
          <w:rFonts w:hint="eastAsia" w:eastAsia="仿宋"/>
          <w:bCs/>
          <w:sz w:val="32"/>
          <w:szCs w:val="32"/>
        </w:rPr>
        <w:t>事业运行（项）</w:t>
      </w:r>
      <w:r>
        <w:rPr>
          <w:rStyle w:val="15"/>
          <w:rFonts w:hint="eastAsia" w:eastAsia="仿宋"/>
          <w:b w:val="0"/>
          <w:bCs/>
          <w:sz w:val="32"/>
          <w:szCs w:val="32"/>
        </w:rPr>
        <w:t>支出决算数86.74万元，完成预算100%。</w:t>
      </w:r>
      <w:r>
        <w:rPr>
          <w:rStyle w:val="15"/>
          <w:rFonts w:hint="eastAsia" w:eastAsia="仿宋"/>
          <w:bCs/>
          <w:sz w:val="32"/>
          <w:szCs w:val="32"/>
        </w:rPr>
        <w:t>人力资源事务（项）</w:t>
      </w:r>
      <w:r>
        <w:rPr>
          <w:rStyle w:val="15"/>
          <w:rFonts w:hint="eastAsia" w:eastAsia="仿宋"/>
          <w:b w:val="0"/>
          <w:bCs/>
          <w:sz w:val="32"/>
          <w:szCs w:val="32"/>
        </w:rPr>
        <w:t>0.5万元，完成预算100%。</w:t>
      </w:r>
      <w:r>
        <w:rPr>
          <w:rStyle w:val="15"/>
          <w:rFonts w:hint="eastAsia" w:eastAsia="仿宋"/>
          <w:bCs/>
          <w:sz w:val="32"/>
          <w:szCs w:val="32"/>
        </w:rPr>
        <w:t>组织事务（项）</w:t>
      </w:r>
      <w:r>
        <w:rPr>
          <w:rStyle w:val="15"/>
          <w:rFonts w:hint="eastAsia" w:eastAsia="仿宋"/>
          <w:b w:val="0"/>
          <w:bCs/>
          <w:sz w:val="32"/>
          <w:szCs w:val="32"/>
        </w:rPr>
        <w:t>6.27万元，完成预算100%。</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Style w:val="15"/>
          <w:rFonts w:eastAsia="仿宋"/>
          <w:b w:val="0"/>
          <w:bCs/>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eastAsia="仿宋"/>
          <w:bCs/>
          <w:color w:val="000000"/>
          <w:sz w:val="32"/>
          <w:szCs w:val="32"/>
        </w:rPr>
        <w:t>行政事业单位离退休（款）</w:t>
      </w:r>
      <w:r>
        <w:rPr>
          <w:rStyle w:val="15"/>
          <w:rFonts w:hint="eastAsia" w:eastAsia="仿宋"/>
          <w:b w:val="0"/>
          <w:bCs/>
          <w:sz w:val="32"/>
          <w:szCs w:val="32"/>
        </w:rPr>
        <w:t>支出决算为11.53万元，</w:t>
      </w:r>
      <w:r>
        <w:rPr>
          <w:rStyle w:val="15"/>
          <w:rFonts w:hint="eastAsia" w:eastAsia="仿宋"/>
          <w:b w:val="0"/>
          <w:bCs/>
          <w:color w:val="000000"/>
          <w:sz w:val="32"/>
          <w:szCs w:val="32"/>
        </w:rPr>
        <w:t>完成预算100</w:t>
      </w:r>
      <w:r>
        <w:rPr>
          <w:rStyle w:val="15"/>
          <w:rFonts w:eastAsia="仿宋"/>
          <w:b w:val="0"/>
          <w:bCs/>
          <w:color w:val="000000"/>
          <w:sz w:val="32"/>
          <w:szCs w:val="32"/>
        </w:rPr>
        <w:t>%</w:t>
      </w:r>
      <w:r>
        <w:rPr>
          <w:rStyle w:val="15"/>
          <w:rFonts w:hint="eastAsia" w:eastAsia="仿宋"/>
          <w:b w:val="0"/>
          <w:bCs/>
          <w:color w:val="000000"/>
          <w:sz w:val="32"/>
          <w:szCs w:val="32"/>
        </w:rPr>
        <w:t>。</w:t>
      </w:r>
      <w:r>
        <w:rPr>
          <w:rStyle w:val="15"/>
          <w:rFonts w:hint="eastAsia" w:eastAsia="仿宋"/>
          <w:bCs/>
          <w:color w:val="000000"/>
          <w:sz w:val="32"/>
          <w:szCs w:val="32"/>
        </w:rPr>
        <w:t>机关事业单位基本养老保险缴费支出（项）</w:t>
      </w:r>
      <w:r>
        <w:rPr>
          <w:rStyle w:val="15"/>
          <w:rFonts w:hint="eastAsia" w:eastAsia="仿宋"/>
          <w:b w:val="0"/>
          <w:bCs/>
          <w:color w:val="000000"/>
          <w:sz w:val="32"/>
          <w:szCs w:val="32"/>
        </w:rPr>
        <w:t>支出决算数为23.03万元，完成预算100%。</w:t>
      </w:r>
      <w:r>
        <w:rPr>
          <w:rFonts w:hint="eastAsia" w:eastAsia="仿宋"/>
          <w:b/>
          <w:bCs/>
          <w:color w:val="000000"/>
          <w:sz w:val="32"/>
          <w:szCs w:val="32"/>
        </w:rPr>
        <w:t>社会福利（款）儿童福利（项）：</w:t>
      </w:r>
      <w:r>
        <w:rPr>
          <w:rStyle w:val="15"/>
          <w:rFonts w:hint="eastAsia" w:eastAsia="仿宋"/>
          <w:b w:val="0"/>
          <w:bCs/>
          <w:color w:val="000000"/>
          <w:sz w:val="32"/>
          <w:szCs w:val="32"/>
        </w:rPr>
        <w:t>支出决算为0.15万元，完成预算100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sz w:val="32"/>
          <w:szCs w:val="32"/>
        </w:rPr>
        <w:t>卫生健康</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无</w:t>
      </w:r>
    </w:p>
    <w:p>
      <w:pPr>
        <w:spacing w:line="600" w:lineRule="exact"/>
        <w:ind w:firstLine="642" w:firstLineChars="200"/>
        <w:rPr>
          <w:rStyle w:val="15"/>
          <w:rFonts w:eastAsia="仿宋"/>
          <w:b w:val="0"/>
          <w:bCs/>
          <w:color w:val="000000"/>
          <w:sz w:val="32"/>
          <w:szCs w:val="32"/>
        </w:rPr>
      </w:pPr>
      <w:r>
        <w:rPr>
          <w:rStyle w:val="15"/>
          <w:rFonts w:hint="eastAsia" w:eastAsia="仿宋"/>
          <w:bCs/>
          <w:color w:val="000000"/>
          <w:sz w:val="32"/>
          <w:szCs w:val="32"/>
        </w:rPr>
        <w:t>7</w:t>
      </w:r>
      <w:r>
        <w:rPr>
          <w:rStyle w:val="15"/>
          <w:rFonts w:eastAsia="仿宋"/>
          <w:bCs/>
          <w:color w:val="000000"/>
          <w:sz w:val="32"/>
          <w:szCs w:val="32"/>
        </w:rPr>
        <w:t>.</w:t>
      </w:r>
      <w:r>
        <w:rPr>
          <w:rFonts w:hint="eastAsia" w:eastAsia="仿宋"/>
          <w:b/>
          <w:bCs/>
          <w:color w:val="000000"/>
          <w:sz w:val="32"/>
          <w:szCs w:val="32"/>
        </w:rPr>
        <w:t>住房保障支出（类）住房改革支出（款）住房公积金（项）</w:t>
      </w:r>
      <w:r>
        <w:rPr>
          <w:rStyle w:val="15"/>
          <w:rFonts w:hint="eastAsia" w:eastAsia="仿宋"/>
          <w:b w:val="0"/>
          <w:bCs/>
          <w:color w:val="000000"/>
          <w:sz w:val="32"/>
          <w:szCs w:val="32"/>
        </w:rPr>
        <w:t>支出决算为27.01万元，完成预算100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年一般公共预算财政拨款基本支出370.13万元，其中：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330.57万元，主要包括：基本工资、津贴补贴、奖金、绩效工资、机关事业单位基本养老保险缴费、职工基本医疗保险缴费、公务员医疗补助缴费、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日常公用经费39.56万元，主要包括：办公费、水费、电费、邮电费、差旅费、公务接待费、工会经费、福利费、公务用车运行维护费、其他交通费、其他商品和服务支出。</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年“三公”经费财政拨款支出决算为1.91万元，完成预算83.77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eastAsia="仿宋"/>
          <w:color w:val="000000"/>
          <w:sz w:val="32"/>
          <w:szCs w:val="32"/>
        </w:rPr>
        <w:t xml:space="preserve"> “三公”经费压缩。</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177165</wp:posOffset>
            </wp:positionH>
            <wp:positionV relativeFrom="paragraph">
              <wp:posOffset>1746250</wp:posOffset>
            </wp:positionV>
            <wp:extent cx="5030470" cy="2421890"/>
            <wp:effectExtent l="19050" t="0" r="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年“三公”经费财政拨款支出决算中，因公出国（境）费支出决算0万元；公务用车购置及运行维护费支出决算1.71万元，占89.53</w:t>
      </w:r>
      <w:r>
        <w:rPr>
          <w:rFonts w:ascii="仿宋" w:hAnsi="仿宋" w:eastAsia="仿宋"/>
          <w:color w:val="000000"/>
          <w:sz w:val="32"/>
          <w:szCs w:val="32"/>
        </w:rPr>
        <w:t>%</w:t>
      </w:r>
      <w:r>
        <w:rPr>
          <w:rFonts w:hint="eastAsia" w:ascii="仿宋" w:hAnsi="仿宋" w:eastAsia="仿宋"/>
          <w:color w:val="000000"/>
          <w:sz w:val="32"/>
          <w:szCs w:val="32"/>
        </w:rPr>
        <w:t>；公务接待费支出决算0.2万元，占10.47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eastAsia="仿宋_GB2312"/>
          <w:b/>
          <w:color w:val="000000"/>
          <w:sz w:val="32"/>
          <w:szCs w:val="32"/>
        </w:rPr>
      </w:pPr>
      <w:r>
        <w:rPr>
          <w:rFonts w:eastAsia="仿宋_GB2312"/>
          <w:b/>
          <w:color w:val="000000"/>
          <w:sz w:val="32"/>
          <w:szCs w:val="32"/>
        </w:rPr>
        <w:t>2.</w:t>
      </w:r>
      <w:r>
        <w:rPr>
          <w:rFonts w:hint="eastAsia" w:eastAsia="仿宋_GB2312"/>
          <w:b/>
          <w:color w:val="000000"/>
          <w:sz w:val="32"/>
          <w:szCs w:val="32"/>
        </w:rPr>
        <w:t>公务用车购置及运行维护费支出</w:t>
      </w:r>
      <w:r>
        <w:rPr>
          <w:rFonts w:hint="eastAsia" w:eastAsia="仿宋_GB2312"/>
          <w:color w:val="000000"/>
          <w:sz w:val="32"/>
          <w:szCs w:val="32"/>
        </w:rPr>
        <w:t>1.71万元</w:t>
      </w:r>
      <w:r>
        <w:rPr>
          <w:rFonts w:eastAsia="仿宋_GB2312"/>
          <w:color w:val="000000"/>
          <w:sz w:val="32"/>
          <w:szCs w:val="32"/>
        </w:rPr>
        <w:t>,</w:t>
      </w:r>
      <w:r>
        <w:rPr>
          <w:rStyle w:val="15"/>
          <w:rFonts w:hint="eastAsia" w:eastAsia="仿宋"/>
          <w:b w:val="0"/>
          <w:bCs/>
          <w:color w:val="000000"/>
          <w:sz w:val="32"/>
          <w:szCs w:val="32"/>
        </w:rPr>
        <w:t>完成预算100</w:t>
      </w:r>
      <w:r>
        <w:rPr>
          <w:rStyle w:val="15"/>
          <w:rFonts w:eastAsia="仿宋"/>
          <w:b w:val="0"/>
          <w:bCs/>
          <w:color w:val="000000"/>
          <w:sz w:val="32"/>
          <w:szCs w:val="32"/>
        </w:rPr>
        <w:t>%</w:t>
      </w:r>
      <w:r>
        <w:rPr>
          <w:rStyle w:val="15"/>
          <w:rFonts w:hint="eastAsia" w:eastAsia="仿宋"/>
          <w:b w:val="0"/>
          <w:bCs/>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其中：</w:t>
      </w:r>
      <w:r>
        <w:rPr>
          <w:rFonts w:hint="eastAsia" w:eastAsia="仿宋_GB2312"/>
          <w:b/>
          <w:color w:val="000000"/>
          <w:sz w:val="32"/>
          <w:szCs w:val="32"/>
        </w:rPr>
        <w:t>公务用车购置支出</w:t>
      </w:r>
      <w:r>
        <w:rPr>
          <w:rFonts w:hint="eastAsia" w:eastAsia="仿宋_GB2312"/>
          <w:color w:val="000000"/>
          <w:sz w:val="32"/>
          <w:szCs w:val="32"/>
        </w:rPr>
        <w:t>0万元。</w:t>
      </w:r>
    </w:p>
    <w:p>
      <w:pPr>
        <w:spacing w:line="600" w:lineRule="exact"/>
        <w:ind w:firstLine="640"/>
        <w:rPr>
          <w:rFonts w:eastAsia="仿宋_GB2312"/>
          <w:color w:val="000000"/>
          <w:sz w:val="32"/>
          <w:szCs w:val="32"/>
        </w:rPr>
      </w:pPr>
      <w:r>
        <w:rPr>
          <w:rFonts w:hint="eastAsia" w:eastAsia="仿宋_GB2312"/>
          <w:b/>
          <w:color w:val="000000"/>
          <w:sz w:val="32"/>
          <w:szCs w:val="32"/>
        </w:rPr>
        <w:t>公务用车运行维护费支出</w:t>
      </w:r>
      <w:r>
        <w:rPr>
          <w:rFonts w:hint="eastAsia" w:eastAsia="仿宋_GB2312"/>
          <w:color w:val="000000"/>
          <w:sz w:val="32"/>
          <w:szCs w:val="32"/>
        </w:rPr>
        <w:t>1.71万元。主要用于攀枝花市群众服务中心开展信访维稳工作等所需的公务用车燃料费、维修费、过路过桥费、保险费等支出。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0.2万元，</w:t>
      </w:r>
      <w:r>
        <w:rPr>
          <w:rStyle w:val="15"/>
          <w:rFonts w:hint="eastAsia" w:ascii="仿宋" w:hAnsi="仿宋" w:eastAsia="仿宋"/>
          <w:b w:val="0"/>
          <w:bCs/>
          <w:color w:val="000000"/>
          <w:sz w:val="32"/>
          <w:szCs w:val="32"/>
        </w:rPr>
        <w:t>完成预算35.09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年减少0.14万元，下降41.18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ascii="仿宋_GB2312" w:eastAsia="仿宋_GB2312"/>
          <w:color w:val="000000"/>
          <w:sz w:val="32"/>
          <w:szCs w:val="32"/>
        </w:rPr>
        <w:t>严格控制公务接待费用支出</w:t>
      </w:r>
      <w:r>
        <w:rPr>
          <w:rFonts w:hint="eastAsia" w:ascii="仿宋_GB2312" w:eastAsia="仿宋_GB2312"/>
          <w:color w:val="000000"/>
          <w:sz w:val="32"/>
          <w:szCs w:val="32"/>
        </w:rPr>
        <w:t>,另受新冠肺炎疫情影响，减少了公务接待。</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0.2</w:t>
      </w:r>
      <w:r>
        <w:rPr>
          <w:rFonts w:hint="eastAsia" w:ascii="仿宋_GB2312" w:eastAsia="仿宋_GB2312"/>
          <w:sz w:val="32"/>
          <w:szCs w:val="32"/>
        </w:rPr>
        <w:t>万元，主要用于</w:t>
      </w:r>
      <w:r>
        <w:rPr>
          <w:rFonts w:ascii="仿宋_GB2312" w:eastAsia="仿宋_GB2312"/>
          <w:sz w:val="32"/>
          <w:szCs w:val="32"/>
        </w:rPr>
        <w:t>接待其他地市州信访部门来攀调研信访工作。</w:t>
      </w:r>
      <w:r>
        <w:rPr>
          <w:rFonts w:hint="eastAsia" w:ascii="仿宋_GB2312" w:eastAsia="仿宋_GB2312"/>
          <w:sz w:val="32"/>
          <w:szCs w:val="32"/>
        </w:rPr>
        <w:t>国内公务接待2批次，14人次，共计支出0.2万元，具体内容包括：</w:t>
      </w:r>
      <w:r>
        <w:rPr>
          <w:rFonts w:ascii="仿宋_GB2312" w:eastAsia="仿宋_GB2312"/>
          <w:color w:val="FF0000"/>
          <w:sz w:val="32"/>
          <w:szCs w:val="32"/>
        </w:rPr>
        <w:t xml:space="preserve"> </w:t>
      </w:r>
      <w:r>
        <w:rPr>
          <w:rFonts w:hint="eastAsia" w:ascii="仿宋_GB2312" w:eastAsia="仿宋_GB2312"/>
          <w:sz w:val="32"/>
          <w:szCs w:val="32"/>
        </w:rPr>
        <w:t>2020年5月14日，接待重庆市长寿区信访办1批6人次赴攀枝花处理陈某某信访事项；2020年7月22日，接待广安市信访局1批8人次，赴攀枝花考察人民满意窗口建设和构建“大信访”相关经验。</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rPr>
        <w:t>。</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年政府性基金预算拨款支出5万元。</w:t>
      </w:r>
    </w:p>
    <w:p>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18"/>
          <w:rFonts w:ascii="黑体" w:hAnsi="黑体" w:eastAsia="黑体"/>
        </w:rPr>
      </w:pPr>
      <w:bookmarkStart w:id="50" w:name="_Toc15377221"/>
      <w:bookmarkStart w:id="51" w:name="_Toc15396612"/>
      <w:r>
        <w:rPr>
          <w:rFonts w:hint="eastAsia" w:ascii="黑体" w:hAnsi="黑体" w:eastAsia="黑体"/>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eastAsia="仿宋_GB2312"/>
          <w:color w:val="000000"/>
          <w:sz w:val="32"/>
          <w:szCs w:val="32"/>
        </w:rPr>
        <w:t>市信访局</w:t>
      </w:r>
      <w:r>
        <w:rPr>
          <w:rFonts w:hint="eastAsia" w:ascii="仿宋_GB2312" w:eastAsia="仿宋_GB2312"/>
          <w:color w:val="000000"/>
          <w:sz w:val="32"/>
          <w:szCs w:val="32"/>
        </w:rPr>
        <w:t>机关运行经费支出39.56万元，比</w:t>
      </w:r>
      <w:r>
        <w:rPr>
          <w:rFonts w:ascii="仿宋_GB2312" w:eastAsia="仿宋_GB2312"/>
          <w:color w:val="000000"/>
          <w:sz w:val="32"/>
          <w:szCs w:val="32"/>
        </w:rPr>
        <w:t>2019</w:t>
      </w:r>
      <w:r>
        <w:rPr>
          <w:rFonts w:hint="eastAsia" w:ascii="仿宋_GB2312" w:eastAsia="仿宋_GB2312"/>
          <w:color w:val="000000"/>
          <w:sz w:val="32"/>
          <w:szCs w:val="32"/>
        </w:rPr>
        <w:t>年减少12.67万元，下降24.25</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年，市信访局政府采购支出总额0万元。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eastAsia="仿宋_GB2312"/>
          <w:color w:val="000000"/>
          <w:sz w:val="32"/>
          <w:szCs w:val="32"/>
        </w:rPr>
        <w:t>市信访局共有车辆1辆，其中：应急保障用车1辆。单价</w:t>
      </w:r>
      <w:r>
        <w:rPr>
          <w:rFonts w:eastAsia="仿宋_GB2312"/>
          <w:color w:val="000000"/>
          <w:sz w:val="32"/>
          <w:szCs w:val="32"/>
        </w:rPr>
        <w:t>50</w:t>
      </w:r>
      <w:r>
        <w:rPr>
          <w:rFonts w:hint="eastAsia" w:eastAsia="仿宋_GB2312"/>
          <w:color w:val="000000"/>
          <w:sz w:val="32"/>
          <w:szCs w:val="32"/>
        </w:rPr>
        <w:t>万元以上通用设备1（套）。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eastAsia="仿宋_GB2312"/>
          <w:sz w:val="32"/>
          <w:szCs w:val="32"/>
        </w:rPr>
      </w:pPr>
      <w:r>
        <w:rPr>
          <w:rFonts w:hint="eastAsia" w:eastAsia="仿宋_GB2312"/>
          <w:sz w:val="32"/>
          <w:szCs w:val="32"/>
        </w:rPr>
        <w:t>根据预算绩效管理要求，本部门（单位）在年初预算编制阶段，组织对驻成都信访联络站工作经费、2020年援藏援彝干部人才补助经费、业务运行费、接送上访群众租车费、聘请法律顾问、维稳专项经费、保洁费开展了预算事前绩效评估，对7个项目编制了绩效目标，预算执行过程中，选取7个项目开展绩效监控，年终执行完毕后，对7个项目开展了绩效目标完成情况自评。</w:t>
      </w:r>
    </w:p>
    <w:p>
      <w:pPr>
        <w:pStyle w:val="7"/>
        <w:spacing w:before="93" w:line="580" w:lineRule="exact"/>
        <w:ind w:firstLine="640" w:firstLineChars="200"/>
        <w:jc w:val="left"/>
        <w:rPr>
          <w:rFonts w:ascii="Times New Roman" w:hAnsi="Times New Roman" w:eastAsia="方正仿宋_GBK"/>
          <w:sz w:val="32"/>
          <w:szCs w:val="32"/>
        </w:rPr>
      </w:pPr>
      <w:r>
        <w:rPr>
          <w:rFonts w:hint="eastAsia" w:eastAsia="仿宋_GB2312"/>
          <w:sz w:val="32"/>
          <w:szCs w:val="32"/>
        </w:rPr>
        <w:t>本部门按要求对</w:t>
      </w:r>
      <w:r>
        <w:rPr>
          <w:rFonts w:eastAsia="仿宋_GB2312"/>
          <w:sz w:val="32"/>
          <w:szCs w:val="32"/>
        </w:rPr>
        <w:t>20</w:t>
      </w:r>
      <w:r>
        <w:rPr>
          <w:rFonts w:hint="eastAsia" w:eastAsia="仿宋_GB2312"/>
          <w:sz w:val="32"/>
          <w:szCs w:val="32"/>
        </w:rPr>
        <w:t>20年部门整体支出开展绩效自评，从评价情况来看：</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ascii="Times New Roman" w:hAnsi="Times New Roman" w:eastAsia="方正仿宋_GBK"/>
          <w:sz w:val="32"/>
          <w:szCs w:val="32"/>
        </w:rPr>
        <w:t>市信访局</w:t>
      </w:r>
      <w:r>
        <w:rPr>
          <w:rFonts w:ascii="Times New Roman" w:hAnsi="Times New Roman" w:eastAsia="仿宋_GB2312"/>
          <w:color w:val="000000"/>
          <w:sz w:val="32"/>
          <w:szCs w:val="32"/>
        </w:rPr>
        <w:t>按照《中共攀枝花市委办公室 攀枝花市人民政府办公室&lt;关于贯彻落实四川省全面实施预算绩效管理实施意见的工作方案&gt;的通知》要求，</w:t>
      </w:r>
      <w:r>
        <w:rPr>
          <w:rFonts w:ascii="Times New Roman" w:hAnsi="Times New Roman" w:eastAsia="方正仿宋_GBK"/>
          <w:sz w:val="32"/>
          <w:szCs w:val="32"/>
        </w:rPr>
        <w:t>全方位对照省、市下达的各项考核指标、重点目标任务、专项工作要求等，扎实开展工作，严格执行预算绩效管理，确保</w:t>
      </w:r>
      <w:r>
        <w:rPr>
          <w:rFonts w:hint="eastAsia" w:ascii="Times New Roman" w:hAnsi="Times New Roman" w:eastAsia="方正仿宋_GBK"/>
          <w:sz w:val="32"/>
          <w:szCs w:val="32"/>
        </w:rPr>
        <w:t>了</w:t>
      </w:r>
      <w:r>
        <w:rPr>
          <w:rFonts w:ascii="Times New Roman" w:hAnsi="Times New Roman" w:eastAsia="方正仿宋_GBK"/>
          <w:sz w:val="32"/>
          <w:szCs w:val="32"/>
        </w:rPr>
        <w:t>绩效目标的完成，维护了社会大局稳定。</w:t>
      </w:r>
    </w:p>
    <w:p>
      <w:pPr>
        <w:pStyle w:val="7"/>
        <w:spacing w:before="93" w:line="580" w:lineRule="exact"/>
        <w:ind w:firstLine="640" w:firstLineChars="200"/>
        <w:jc w:val="left"/>
        <w:rPr>
          <w:rFonts w:ascii="Times New Roman" w:hAnsi="Times New Roman" w:eastAsia="仿宋_GB2312"/>
          <w:sz w:val="32"/>
          <w:szCs w:val="32"/>
        </w:rPr>
      </w:pPr>
      <w:r>
        <w:rPr>
          <w:rFonts w:hint="eastAsia" w:eastAsia="仿宋_GB2312"/>
          <w:sz w:val="32"/>
          <w:szCs w:val="32"/>
        </w:rPr>
        <w:t>本部门还自行组织了7个项目支出绩效评价，从评价情况来看：</w:t>
      </w:r>
      <w:r>
        <w:rPr>
          <w:rFonts w:hint="eastAsia" w:ascii="Times New Roman" w:hAnsi="Times New Roman" w:eastAsia="仿宋_GB2312"/>
          <w:sz w:val="32"/>
          <w:szCs w:val="32"/>
        </w:rPr>
        <w:t>2020年，</w:t>
      </w:r>
      <w:r>
        <w:rPr>
          <w:rFonts w:ascii="Times New Roman" w:hAnsi="Times New Roman" w:eastAsia="仿宋_GB2312"/>
          <w:sz w:val="32"/>
          <w:szCs w:val="32"/>
        </w:rPr>
        <w:t>市信访局加强了对信访工作的业务管理，严格执行</w:t>
      </w:r>
      <w:r>
        <w:rPr>
          <w:rFonts w:hint="eastAsia" w:ascii="Times New Roman" w:hAnsi="Times New Roman" w:eastAsia="仿宋_GB2312"/>
          <w:sz w:val="32"/>
          <w:szCs w:val="32"/>
        </w:rPr>
        <w:t>项目</w:t>
      </w:r>
      <w:r>
        <w:rPr>
          <w:rFonts w:ascii="Times New Roman" w:hAnsi="Times New Roman" w:eastAsia="仿宋_GB2312"/>
          <w:sz w:val="32"/>
          <w:szCs w:val="32"/>
        </w:rPr>
        <w:t>预算支出，</w:t>
      </w:r>
      <w:r>
        <w:rPr>
          <w:rFonts w:ascii="Times New Roman" w:hAnsi="Times New Roman" w:eastAsia="仿宋_GB2312"/>
          <w:color w:val="000000"/>
          <w:sz w:val="32"/>
          <w:szCs w:val="32"/>
        </w:rPr>
        <w:t>严格贯彻执行中央</w:t>
      </w:r>
      <w:bookmarkStart w:id="75" w:name="_GoBack"/>
      <w:bookmarkEnd w:id="75"/>
      <w:r>
        <w:rPr>
          <w:rFonts w:ascii="Times New Roman" w:hAnsi="Times New Roman" w:eastAsia="仿宋_GB2312"/>
          <w:color w:val="000000"/>
          <w:sz w:val="32"/>
          <w:szCs w:val="32"/>
        </w:rPr>
        <w:t>八项规定、省市“十项规定”，各项开支厉行节约，按时保质保量圆满完成了各项重点工作任务，在</w:t>
      </w:r>
      <w:r>
        <w:rPr>
          <w:rFonts w:ascii="Times New Roman" w:hAnsi="Times New Roman" w:eastAsia="仿宋_GB2312"/>
          <w:sz w:val="32"/>
          <w:szCs w:val="32"/>
        </w:rPr>
        <w:t>产出指标完成情况、效益指标完成情况、满意度指标完成情况等方面，全部达到全年预期绩效目标，全面推动了全市信访工作的高质量发展。</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ascii="仿宋_GB2312" w:hAnsi="黑体" w:eastAsia="仿宋_GB2312"/>
          <w:sz w:val="32"/>
          <w:szCs w:val="32"/>
        </w:rPr>
      </w:pPr>
      <w:r>
        <w:rPr>
          <w:rFonts w:eastAsia="楷体_GB2312"/>
          <w:sz w:val="32"/>
          <w:szCs w:val="32"/>
        </w:rPr>
        <w:t>1.</w:t>
      </w:r>
      <w:r>
        <w:rPr>
          <w:rFonts w:hint="eastAsia" w:eastAsia="楷体_GB2312"/>
          <w:sz w:val="32"/>
          <w:szCs w:val="32"/>
        </w:rPr>
        <w:t>项目绩效目标完成情况。</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20年度部门决算中反映“</w:t>
      </w:r>
      <w:r>
        <w:rPr>
          <w:rFonts w:hint="eastAsia" w:eastAsia="仿宋_GB2312"/>
          <w:sz w:val="32"/>
          <w:szCs w:val="32"/>
        </w:rPr>
        <w:t>驻成都信访联络站工作经费</w:t>
      </w:r>
      <w:r>
        <w:rPr>
          <w:rFonts w:hint="eastAsia" w:ascii="仿宋_GB2312" w:hAnsi="仿宋_GB2312" w:eastAsia="仿宋_GB2312" w:cs="仿宋_GB2312"/>
          <w:sz w:val="32"/>
          <w:szCs w:val="32"/>
        </w:rPr>
        <w:t>”</w:t>
      </w:r>
      <w:r>
        <w:rPr>
          <w:rFonts w:hint="eastAsia" w:eastAsia="仿宋_GB2312"/>
          <w:sz w:val="32"/>
          <w:szCs w:val="32"/>
        </w:rPr>
        <w:t>、“援藏援彝干部人才补助经费”、“业务运行费”、“接送上访群众租车费”、“聘请法律顾问”、“维稳专项经费”及“保洁费”</w:t>
      </w:r>
      <w:r>
        <w:rPr>
          <w:rFonts w:hint="eastAsia" w:ascii="仿宋_GB2312" w:hAnsi="仿宋_GB2312" w:eastAsia="仿宋_GB2312" w:cs="仿宋_GB2312"/>
          <w:sz w:val="32"/>
          <w:szCs w:val="32"/>
        </w:rPr>
        <w:t>等7个项目绩效目标实际完成情况。</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）驻成都信访联络站工作经费项目绩效目标完成情况综述。项目全年预算数3万元，执行数为3万元，完成预算的100</w:t>
      </w:r>
      <w:r>
        <w:rPr>
          <w:rFonts w:eastAsia="仿宋_GB2312"/>
          <w:sz w:val="32"/>
          <w:szCs w:val="32"/>
        </w:rPr>
        <w:t>%</w:t>
      </w:r>
      <w:r>
        <w:rPr>
          <w:rFonts w:hint="eastAsia" w:eastAsia="仿宋_GB2312"/>
          <w:sz w:val="32"/>
          <w:szCs w:val="32"/>
        </w:rPr>
        <w:t>。通过项目实施，加强了我市驻成都信访工作力量，确保了社会和谐稳定。</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（2）</w:t>
      </w:r>
      <w:r>
        <w:rPr>
          <w:rFonts w:hint="eastAsia" w:eastAsia="仿宋_GB2312"/>
          <w:sz w:val="32"/>
          <w:szCs w:val="32"/>
        </w:rPr>
        <w:t>援藏援彝干部人才补助经费项目绩效目标完成情况综述。项目全年预算数5万元，执行数为5万元，完成预算的100</w:t>
      </w:r>
      <w:r>
        <w:rPr>
          <w:rFonts w:eastAsia="仿宋_GB2312"/>
          <w:sz w:val="32"/>
          <w:szCs w:val="32"/>
        </w:rPr>
        <w:t>%</w:t>
      </w:r>
      <w:r>
        <w:rPr>
          <w:rFonts w:hint="eastAsia" w:eastAsia="仿宋_GB2312"/>
          <w:sz w:val="32"/>
          <w:szCs w:val="32"/>
        </w:rPr>
        <w:t>。通过项目实施，为援藏干部提供了日常生活所需，解决了援藏干部的后顾之忧，为其安心踏实开展工作提供生活保障，确保了援藏工作的顺利开展。</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eastAsia="仿宋_GB2312"/>
          <w:sz w:val="32"/>
          <w:szCs w:val="32"/>
        </w:rPr>
        <w:t>（3）业务运行费项目绩效目标完成情况综述。项目全年预算数5.77万元，执行数为5.77万元，完成预算的100</w:t>
      </w:r>
      <w:r>
        <w:rPr>
          <w:rFonts w:eastAsia="仿宋_GB2312"/>
          <w:sz w:val="32"/>
          <w:szCs w:val="32"/>
        </w:rPr>
        <w:t>%</w:t>
      </w:r>
      <w:r>
        <w:rPr>
          <w:rFonts w:hint="eastAsia" w:eastAsia="仿宋_GB2312"/>
          <w:sz w:val="32"/>
          <w:szCs w:val="32"/>
        </w:rPr>
        <w:t>。通过项目实施，依法处置市委市政府机关办公场所非正常上访行为，维护了正常上访秩序；扎实开展“三率”工作，提升群众满意度；大力推进网上信访，切实为群众解难题办实事，维护了社会和谐稳定。</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eastAsia="仿宋_GB2312"/>
          <w:sz w:val="32"/>
          <w:szCs w:val="32"/>
        </w:rPr>
        <w:t>（4）接送上访群众租车费项目绩效目标完成情况综述。项目全年预算数10.8万元，执行数为10.8万元（按费用实际产生结算），完成预算的60</w:t>
      </w:r>
      <w:r>
        <w:rPr>
          <w:rFonts w:eastAsia="仿宋_GB2312"/>
          <w:sz w:val="32"/>
          <w:szCs w:val="32"/>
        </w:rPr>
        <w:t>%</w:t>
      </w:r>
      <w:r>
        <w:rPr>
          <w:rFonts w:hint="eastAsia" w:eastAsia="仿宋_GB2312"/>
          <w:sz w:val="32"/>
          <w:szCs w:val="32"/>
        </w:rPr>
        <w:t>。通过项目实施，接送转运信访群众至市信访局，引导群众理性上访，规范信访秩序，为市委市政府办公区域工作顺利开展提供保障，维护社会和谐稳定。</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eastAsia="仿宋_GB2312"/>
          <w:sz w:val="32"/>
          <w:szCs w:val="32"/>
        </w:rPr>
        <w:t>（5）聘请法律顾问费项目绩效目标完成情况综述。项目全年预算数3万元，执行数为3万元，完成预算的100</w:t>
      </w:r>
      <w:r>
        <w:rPr>
          <w:rFonts w:eastAsia="仿宋_GB2312"/>
          <w:sz w:val="32"/>
          <w:szCs w:val="32"/>
        </w:rPr>
        <w:t>%</w:t>
      </w:r>
      <w:r>
        <w:rPr>
          <w:rFonts w:hint="eastAsia" w:eastAsia="仿宋_GB2312"/>
          <w:sz w:val="32"/>
          <w:szCs w:val="32"/>
        </w:rPr>
        <w:t xml:space="preserve">。通过项目实施，引导信访群众通过法律途径维护自身权益，实现诉访分离，信访工作秩序得到规范，维护社会和谐稳定。 </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eastAsia="仿宋_GB2312"/>
          <w:sz w:val="32"/>
          <w:szCs w:val="32"/>
        </w:rPr>
      </w:pPr>
      <w:r>
        <w:rPr>
          <w:rFonts w:hint="eastAsia" w:eastAsia="仿宋_GB2312"/>
          <w:sz w:val="32"/>
          <w:szCs w:val="32"/>
        </w:rPr>
        <w:t>（6）维稳专项经费项目绩效目标完成情况综述。项目全年预算数20万元，执行数为8.74万元，完成预算的43.7</w:t>
      </w:r>
      <w:r>
        <w:rPr>
          <w:rFonts w:eastAsia="仿宋_GB2312"/>
          <w:sz w:val="32"/>
          <w:szCs w:val="32"/>
        </w:rPr>
        <w:t>%</w:t>
      </w:r>
      <w:r>
        <w:rPr>
          <w:rFonts w:hint="eastAsia" w:eastAsia="仿宋_GB2312"/>
          <w:sz w:val="32"/>
          <w:szCs w:val="32"/>
        </w:rPr>
        <w:t>。通过项目实施，加强社会矛盾纠纷排查和积案化解，全年有序推进各项工作，年底全面完成各项工作。</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ascii="仿宋" w:hAnsi="仿宋" w:eastAsia="仿宋"/>
          <w:b/>
          <w:sz w:val="32"/>
          <w:szCs w:val="32"/>
        </w:rPr>
      </w:pPr>
      <w:r>
        <w:rPr>
          <w:rFonts w:hint="eastAsia" w:eastAsia="仿宋_GB2312"/>
          <w:sz w:val="32"/>
          <w:szCs w:val="32"/>
        </w:rPr>
        <w:t>（7）保洁费项目绩效目标完成情况综述。项目全年预算数6万元，执行数为6万元，完成预算的100</w:t>
      </w:r>
      <w:r>
        <w:rPr>
          <w:rFonts w:eastAsia="仿宋_GB2312"/>
          <w:sz w:val="32"/>
          <w:szCs w:val="32"/>
        </w:rPr>
        <w:t>%</w:t>
      </w:r>
      <w:r>
        <w:rPr>
          <w:rFonts w:hint="eastAsia" w:eastAsia="仿宋_GB2312"/>
          <w:sz w:val="32"/>
          <w:szCs w:val="32"/>
        </w:rPr>
        <w:t>。通过项目实施，创建整洁优美办公环境，提升工作效率，更好为群众解难，为党委分忧，确保社会大局和谐稳定。</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表一：</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驻成都信访联络站工作经费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40" w:firstLineChars="100"/>
              <w:textAlignment w:val="center"/>
              <w:rPr>
                <w:rFonts w:ascii="宋体"/>
                <w:color w:val="000000"/>
                <w:sz w:val="24"/>
              </w:rPr>
            </w:pPr>
            <w:r>
              <w:rPr>
                <w:rFonts w:hint="eastAsia" w:ascii="宋体" w:hAnsi="宋体" w:cs="宋体"/>
                <w:color w:val="000000"/>
                <w:sz w:val="24"/>
              </w:rPr>
              <w:t>加强我市驻成都信访工作力量，确保社会安全和谐稳定。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8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信访日常工作开展保障经费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切实做好群众进京赴省上访处理工作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及时受理率100%、按期办结率100%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及时受理率100%、按期办结率100%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按年初计划执行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20</w:t>
            </w:r>
            <w:r>
              <w:rPr>
                <w:rFonts w:hint="eastAsia" w:ascii="宋体" w:hAnsi="宋体" w:cs="宋体"/>
                <w:color w:val="000000"/>
                <w:sz w:val="24"/>
              </w:rPr>
              <w:t>20年全年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75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信访日常工作开展保障经费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基本满意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pBdr>
          <w:top w:val="single" w:color="FFFFFF" w:sz="4" w:space="0"/>
          <w:left w:val="single" w:color="FFFFFF" w:sz="4" w:space="31"/>
          <w:bottom w:val="single" w:color="FFFFFF" w:sz="4" w:space="29"/>
          <w:right w:val="single" w:color="FFFFFF" w:sz="4" w:space="31"/>
        </w:pBdr>
        <w:adjustRightInd w:val="0"/>
        <w:snapToGrid w:val="0"/>
        <w:spacing w:line="600" w:lineRule="exact"/>
        <w:rPr>
          <w:rFonts w:eastAsia="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表二：</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援藏援彝干部人才补助经费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color w:val="000000"/>
                <w:sz w:val="24"/>
              </w:rPr>
            </w:pPr>
            <w:r>
              <w:rPr>
                <w:rFonts w:hint="eastAsia" w:ascii="宋体" w:hAnsi="宋体" w:cs="宋体"/>
                <w:color w:val="000000"/>
                <w:sz w:val="24"/>
              </w:rPr>
              <w:t>保障木里援助工作的顺利进行。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8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援藏援彝干部人数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完成年度工作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保障援藏援彝干部正常生活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按年初计划执行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20</w:t>
            </w:r>
            <w:r>
              <w:rPr>
                <w:rFonts w:hint="eastAsia" w:ascii="宋体" w:hAnsi="宋体" w:cs="宋体"/>
                <w:color w:val="000000"/>
                <w:sz w:val="24"/>
              </w:rPr>
              <w:t>20年全年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75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拨付援藏干部生活补助等费用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得到群众好评</w:t>
            </w:r>
          </w:p>
        </w:tc>
      </w:tr>
    </w:tbl>
    <w:p>
      <w:pPr>
        <w:spacing w:line="580" w:lineRule="exact"/>
        <w:rPr>
          <w:rFonts w:ascii="仿宋_GB2312" w:hAnsi="仿宋_GB2312" w:eastAsia="仿宋_GB2312"/>
          <w:sz w:val="32"/>
          <w:szCs w:val="32"/>
        </w:rPr>
      </w:pPr>
    </w:p>
    <w:p>
      <w:pPr>
        <w:spacing w:line="580" w:lineRule="exact"/>
        <w:rPr>
          <w:rFonts w:ascii="仿宋_GB2312" w:hAnsi="仿宋_GB2312" w:eastAsia="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表三：</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业务运行费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5.77</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5.77</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2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sz w:val="24"/>
              </w:rPr>
              <w:t>1.依法处置市委市政府机关办公场所非正常上访行为，维护正常上访秩序，实现信访批次、人次“两下降”；2.开展群众满意度评价，确保满意度不低于全省最低水平；3.认真办结化解上级交办和市级排查的信访案件，确保办结率100%。</w:t>
            </w:r>
            <w:r>
              <w:rPr>
                <w:rFonts w:ascii="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9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信访业务开展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 w:firstLineChars="50"/>
              <w:jc w:val="center"/>
              <w:textAlignment w:val="center"/>
              <w:rPr>
                <w:rFonts w:ascii="宋体"/>
                <w:color w:val="000000"/>
                <w:sz w:val="24"/>
              </w:rPr>
            </w:pPr>
            <w:r>
              <w:rPr>
                <w:rFonts w:ascii="宋体" w:hAnsi="宋体" w:cs="宋体"/>
                <w:color w:val="000000"/>
                <w:sz w:val="24"/>
              </w:rPr>
              <w:t>1</w:t>
            </w:r>
            <w:r>
              <w:rPr>
                <w:rFonts w:hint="eastAsia" w:ascii="宋体" w:hAns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sz w:val="24"/>
              </w:rPr>
              <w:t>较少非正常上访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完成全年目标任务</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按年度工作安排推进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完成全年目标任务</w:t>
            </w:r>
          </w:p>
        </w:tc>
      </w:tr>
      <w:tr>
        <w:tblPrEx>
          <w:tblCellMar>
            <w:top w:w="0" w:type="dxa"/>
            <w:left w:w="0" w:type="dxa"/>
            <w:bottom w:w="0" w:type="dxa"/>
            <w:right w:w="0" w:type="dxa"/>
          </w:tblCellMar>
        </w:tblPrEx>
        <w:trPr>
          <w:trHeight w:val="99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信访业务开展（含市长信箱）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5.77万元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完成目标任务</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spacing w:line="580" w:lineRule="exact"/>
        <w:rPr>
          <w:rFonts w:ascii="仿宋_GB2312" w:hAnsi="仿宋_GB2312" w:eastAsia="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表四：</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接送上访群众租车费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2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40" w:firstLineChars="100"/>
              <w:textAlignment w:val="center"/>
              <w:rPr>
                <w:rFonts w:ascii="宋体"/>
                <w:color w:val="000000"/>
                <w:sz w:val="24"/>
              </w:rPr>
            </w:pPr>
            <w:r>
              <w:rPr>
                <w:rFonts w:hint="eastAsia" w:ascii="宋体" w:hAnsi="宋体" w:cs="宋体"/>
                <w:color w:val="000000"/>
                <w:sz w:val="24"/>
              </w:rPr>
              <w:t>接送转运信访群众至市信访局，引导群众理性上访，规范信访秩序，为市委市政府办公区域工作顺利开展提供保障，维护社会和谐稳定。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9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接送转运信访群众租车费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 w:firstLineChars="50"/>
              <w:jc w:val="center"/>
              <w:textAlignment w:val="center"/>
              <w:rPr>
                <w:rFonts w:ascii="宋体"/>
                <w:color w:val="000000"/>
                <w:sz w:val="24"/>
              </w:rPr>
            </w:pPr>
            <w:r>
              <w:rPr>
                <w:rFonts w:hint="eastAsia" w:ascii="宋体" w:hAnsi="宋体" w:cs="宋体"/>
                <w:color w:val="000000"/>
                <w:sz w:val="24"/>
              </w:rPr>
              <w:t>适时完成接送群众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40" w:firstLineChars="100"/>
              <w:textAlignment w:val="center"/>
              <w:rPr>
                <w:rFonts w:ascii="宋体"/>
                <w:color w:val="000000"/>
                <w:sz w:val="24"/>
              </w:rPr>
            </w:pPr>
            <w:r>
              <w:rPr>
                <w:rFonts w:hint="eastAsia" w:ascii="宋体" w:hAnsi="宋体" w:cs="宋体"/>
                <w:color w:val="000000"/>
                <w:sz w:val="24"/>
              </w:rPr>
              <w:t>较少非正常上访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完成全年目标任务</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按年度工作安排推进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完成全年目标任务</w:t>
            </w:r>
          </w:p>
        </w:tc>
      </w:tr>
      <w:tr>
        <w:tblPrEx>
          <w:tblCellMar>
            <w:top w:w="0" w:type="dxa"/>
            <w:left w:w="0" w:type="dxa"/>
            <w:bottom w:w="0" w:type="dxa"/>
            <w:right w:w="0" w:type="dxa"/>
          </w:tblCellMar>
        </w:tblPrEx>
        <w:trPr>
          <w:trHeight w:val="99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10.8万元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完成目标任务</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spacing w:line="580" w:lineRule="exact"/>
        <w:rPr>
          <w:rFonts w:ascii="仿宋_GB2312" w:hAnsi="仿宋_GB2312" w:eastAsia="仿宋_GB2312"/>
          <w:sz w:val="32"/>
          <w:szCs w:val="32"/>
        </w:rPr>
      </w:pPr>
    </w:p>
    <w:p>
      <w:pPr>
        <w:spacing w:line="580" w:lineRule="exact"/>
        <w:rPr>
          <w:rFonts w:ascii="仿宋_GB2312" w:hAnsi="仿宋_GB2312" w:eastAsia="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表五：</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维稳专项经费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17.82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1</w:t>
            </w:r>
            <w:r>
              <w:rPr>
                <w:rFonts w:hint="eastAsia" w:ascii="宋体" w:hAnsi="宋体" w:cs="宋体"/>
                <w:color w:val="000000"/>
                <w:sz w:val="24"/>
              </w:rPr>
              <w:t>7</w:t>
            </w:r>
            <w:r>
              <w:rPr>
                <w:rFonts w:ascii="宋体" w:hAnsi="宋体" w:cs="宋体"/>
                <w:color w:val="000000"/>
                <w:sz w:val="24"/>
              </w:rPr>
              <w:t>.8</w:t>
            </w:r>
            <w:r>
              <w:rPr>
                <w:rFonts w:hint="eastAsia" w:ascii="宋体" w:hAnsi="宋体" w:cs="宋体"/>
                <w:color w:val="000000"/>
                <w:sz w:val="24"/>
              </w:rPr>
              <w:t>2</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17.82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17.82</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2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sz w:val="24"/>
              </w:rPr>
              <w:t>减少社会矛盾纠纷，维护社会和谐稳定。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1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专项维稳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1</w:t>
            </w:r>
            <w:r>
              <w:rPr>
                <w:rFonts w:hint="eastAsia" w:ascii="宋体" w:hAns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工作人员业务水平进一步提升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信访工作顺利开展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维护社会大局和谐稳定</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按年度工作安排推进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顺利完成全年目标任务</w:t>
            </w:r>
          </w:p>
        </w:tc>
      </w:tr>
      <w:tr>
        <w:tblPrEx>
          <w:tblCellMar>
            <w:top w:w="0" w:type="dxa"/>
            <w:left w:w="0" w:type="dxa"/>
            <w:bottom w:w="0" w:type="dxa"/>
            <w:right w:w="0" w:type="dxa"/>
          </w:tblCellMar>
        </w:tblPrEx>
        <w:trPr>
          <w:trHeight w:val="75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专项维稳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17.82万元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完成目标任务</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表六：</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聘请法律顾问费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2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sz w:val="24"/>
              </w:rPr>
              <w:t>引导信访群众通过法律途径维护自身权益。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1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聘请法律顾问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1</w:t>
            </w:r>
            <w:r>
              <w:rPr>
                <w:rFonts w:hint="eastAsia" w:ascii="宋体" w:hAns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对信访干部进行法律知识培训，对信访群众进行法律宣传引导。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实现诉访分离，规范信访秩序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维护社会大局和谐稳定</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按年度工作安排推进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顺利完成全年目标任务</w:t>
            </w:r>
          </w:p>
        </w:tc>
      </w:tr>
      <w:tr>
        <w:tblPrEx>
          <w:tblCellMar>
            <w:top w:w="0" w:type="dxa"/>
            <w:left w:w="0" w:type="dxa"/>
            <w:bottom w:w="0" w:type="dxa"/>
            <w:right w:w="0" w:type="dxa"/>
          </w:tblCellMar>
        </w:tblPrEx>
        <w:trPr>
          <w:trHeight w:val="75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聘请法律顾问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完成目标任务</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724"/>
        <w:gridCol w:w="1033"/>
        <w:gridCol w:w="1025"/>
        <w:gridCol w:w="2620"/>
        <w:gridCol w:w="2166"/>
        <w:gridCol w:w="2512"/>
      </w:tblGrid>
      <w:tr>
        <w:tblPrEx>
          <w:tblCellMar>
            <w:top w:w="0" w:type="dxa"/>
            <w:left w:w="0" w:type="dxa"/>
            <w:bottom w:w="0" w:type="dxa"/>
            <w:right w:w="0" w:type="dxa"/>
          </w:tblCellMar>
        </w:tblPrEx>
        <w:trPr>
          <w:trHeight w:val="1034" w:hRule="atLeast"/>
        </w:trPr>
        <w:tc>
          <w:tcPr>
            <w:tcW w:w="10080" w:type="dxa"/>
            <w:gridSpan w:val="6"/>
            <w:tcMar>
              <w:top w:w="15" w:type="dxa"/>
              <w:left w:w="15" w:type="dxa"/>
              <w:bottom w:w="0" w:type="dxa"/>
              <w:right w:w="15" w:type="dxa"/>
            </w:tcMar>
            <w:vAlign w:val="center"/>
          </w:tcPr>
          <w:p>
            <w:pPr>
              <w:pStyle w:val="34"/>
              <w:widowControl/>
              <w:ind w:left="4173" w:leftChars="1310" w:hanging="1422" w:hangingChars="395"/>
              <w:textAlignment w:val="center"/>
              <w:rPr>
                <w:rFonts w:ascii="宋体"/>
                <w:color w:val="000000"/>
                <w:kern w:val="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p>
            <w:pPr>
              <w:widowControl/>
              <w:ind w:firstLine="417" w:firstLineChars="116"/>
              <w:jc w:val="left"/>
              <w:textAlignment w:val="center"/>
              <w:rPr>
                <w:rFonts w:ascii="宋体"/>
                <w:color w:val="000000"/>
                <w:sz w:val="36"/>
                <w:szCs w:val="36"/>
              </w:rPr>
            </w:pPr>
            <w:r>
              <w:rPr>
                <w:rFonts w:hint="eastAsia" w:ascii="宋体" w:hAnsi="宋体" w:cs="宋体"/>
                <w:color w:val="000000"/>
                <w:kern w:val="0"/>
                <w:sz w:val="36"/>
                <w:szCs w:val="36"/>
              </w:rPr>
              <w:t>表七：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eastAsia="仿宋_GB2312"/>
                <w:sz w:val="32"/>
                <w:szCs w:val="32"/>
              </w:rPr>
              <w:t>保洁费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攀枝花市信访局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6</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6</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6</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6</w:t>
            </w:r>
          </w:p>
        </w:tc>
      </w:tr>
      <w:tr>
        <w:tblPrEx>
          <w:tblCellMar>
            <w:top w:w="0" w:type="dxa"/>
            <w:left w:w="0" w:type="dxa"/>
            <w:bottom w:w="0" w:type="dxa"/>
            <w:right w:w="0" w:type="dxa"/>
          </w:tblCellMar>
        </w:tblPrEx>
        <w:trPr>
          <w:trHeight w:val="116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6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6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2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6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olor w:val="000000"/>
                <w:sz w:val="24"/>
              </w:rPr>
              <w:t>创建整洁优美办公环境</w:t>
            </w:r>
          </w:p>
        </w:tc>
        <w:tc>
          <w:tcPr>
            <w:tcW w:w="46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7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1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数量指标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保洁费</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sz w:val="24"/>
              </w:rPr>
              <w:t>1</w:t>
            </w:r>
            <w:r>
              <w:rPr>
                <w:rFonts w:hint="eastAsia" w:ascii="宋体" w:hAnsi="宋体" w:cs="宋体"/>
                <w:color w:val="000000"/>
                <w:sz w:val="24"/>
              </w:rPr>
              <w:t>年</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82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质量指标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维护办公区域环境卫生</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维护市容市貌整体形象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维护生态环境良好发展</w:t>
            </w:r>
          </w:p>
        </w:tc>
      </w:tr>
      <w:tr>
        <w:tblPrEx>
          <w:tblCellMar>
            <w:top w:w="0" w:type="dxa"/>
            <w:left w:w="0" w:type="dxa"/>
            <w:bottom w:w="0" w:type="dxa"/>
            <w:right w:w="0" w:type="dxa"/>
          </w:tblCellMar>
        </w:tblPrEx>
        <w:trPr>
          <w:trHeight w:val="82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时效指标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每天进行打扫</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顺利推进</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顺利完成全年目标任务</w:t>
            </w:r>
          </w:p>
        </w:tc>
      </w:tr>
      <w:tr>
        <w:tblPrEx>
          <w:tblCellMar>
            <w:top w:w="0" w:type="dxa"/>
            <w:left w:w="0" w:type="dxa"/>
            <w:bottom w:w="0" w:type="dxa"/>
            <w:right w:w="0" w:type="dxa"/>
          </w:tblCellMar>
        </w:tblPrEx>
        <w:trPr>
          <w:trHeight w:val="75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成本指标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保洁费</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6万元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完成目标任务</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满意度指标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群众满意度</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群众满意</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eastAsia="仿宋_GB2312"/>
          <w:sz w:val="32"/>
          <w:szCs w:val="32"/>
        </w:rPr>
      </w:pPr>
      <w:r>
        <w:rPr>
          <w:rFonts w:eastAsia="楷体_GB2312"/>
          <w:sz w:val="32"/>
          <w:szCs w:val="32"/>
        </w:rPr>
        <w:t>2.</w:t>
      </w:r>
      <w:r>
        <w:rPr>
          <w:rFonts w:hint="eastAsia" w:eastAsia="楷体_GB2312"/>
          <w:sz w:val="32"/>
          <w:szCs w:val="32"/>
        </w:rPr>
        <w:t>部门绩效评价结果。</w:t>
      </w:r>
    </w:p>
    <w:p>
      <w:pPr>
        <w:spacing w:line="580" w:lineRule="exact"/>
        <w:ind w:firstLine="640" w:firstLineChars="200"/>
        <w:rPr>
          <w:rFonts w:eastAsia="仿宋_GB2312"/>
          <w:sz w:val="32"/>
          <w:szCs w:val="32"/>
        </w:rPr>
      </w:pPr>
      <w:r>
        <w:rPr>
          <w:rFonts w:hint="eastAsia" w:eastAsia="仿宋_GB2312"/>
          <w:sz w:val="32"/>
          <w:szCs w:val="32"/>
        </w:rPr>
        <w:t>本部门按要求对</w:t>
      </w:r>
      <w:r>
        <w:rPr>
          <w:rFonts w:eastAsia="仿宋_GB2312"/>
          <w:sz w:val="32"/>
          <w:szCs w:val="32"/>
        </w:rPr>
        <w:t>20</w:t>
      </w:r>
      <w:r>
        <w:rPr>
          <w:rFonts w:hint="eastAsia" w:eastAsia="仿宋_GB2312"/>
          <w:sz w:val="32"/>
          <w:szCs w:val="32"/>
        </w:rPr>
        <w:t>20年部门整体支出绩效评价情况开展自评，《攀枝花市信访局</w:t>
      </w:r>
      <w:r>
        <w:rPr>
          <w:rFonts w:eastAsia="仿宋_GB2312"/>
          <w:sz w:val="32"/>
          <w:szCs w:val="32"/>
        </w:rPr>
        <w:t>20</w:t>
      </w:r>
      <w:r>
        <w:rPr>
          <w:rFonts w:hint="eastAsia" w:eastAsia="仿宋_GB2312"/>
          <w:sz w:val="32"/>
          <w:szCs w:val="32"/>
        </w:rPr>
        <w:t>20年部门整体支出绩效评价报告》见附件（附件</w:t>
      </w:r>
      <w:r>
        <w:rPr>
          <w:rFonts w:eastAsia="仿宋_GB2312"/>
          <w:sz w:val="32"/>
          <w:szCs w:val="32"/>
        </w:rPr>
        <w:t>1</w:t>
      </w:r>
      <w:r>
        <w:rPr>
          <w:rFonts w:hint="eastAsia" w:eastAsia="仿宋_GB2312"/>
          <w:sz w:val="32"/>
          <w:szCs w:val="32"/>
        </w:rPr>
        <w:t>）。</w:t>
      </w:r>
    </w:p>
    <w:p>
      <w:pPr>
        <w:spacing w:line="580" w:lineRule="exact"/>
        <w:ind w:firstLine="640" w:firstLineChars="200"/>
        <w:rPr>
          <w:rFonts w:eastAsia="仿宋_GB2312"/>
          <w:b/>
          <w:color w:val="000000"/>
          <w:sz w:val="32"/>
          <w:szCs w:val="32"/>
        </w:rPr>
      </w:pPr>
      <w:r>
        <w:rPr>
          <w:rFonts w:hint="eastAsia" w:eastAsia="仿宋_GB2312"/>
          <w:sz w:val="32"/>
          <w:szCs w:val="32"/>
        </w:rPr>
        <w:t>本部门自行组织对驻成都信访联络站工作经费、援藏援彝干部人才补助经费、业务运行费（含市委书记信箱、市长信箱工作经费）、接送上访群众租车费及维稳专项经费等7个项目开展了绩效评价，《攀枝花市信访局项目2020年绩效评价报告》见附件（附件</w:t>
      </w:r>
      <w:r>
        <w:rPr>
          <w:rFonts w:eastAsia="仿宋_GB2312"/>
          <w:sz w:val="32"/>
          <w:szCs w:val="32"/>
        </w:rPr>
        <w:t>2</w:t>
      </w:r>
      <w:r>
        <w:rPr>
          <w:rFonts w:hint="eastAsia" w:eastAsia="仿宋_GB2312"/>
          <w:sz w:val="32"/>
          <w:szCs w:val="32"/>
        </w:rPr>
        <w:t>）。</w:t>
      </w:r>
    </w:p>
    <w:p>
      <w:pPr>
        <w:spacing w:line="580" w:lineRule="exact"/>
        <w:ind w:firstLine="640" w:firstLineChars="200"/>
        <w:rPr>
          <w:rFonts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其他收入：指单位取得的除财政拨款收入、事业收入经营收入以外的各项收入。</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600" w:lineRule="exact"/>
        <w:jc w:val="left"/>
        <w:outlineLvl w:val="0"/>
        <w:rPr>
          <w:rFonts w:eastAsia="方正小标宋简体"/>
          <w:sz w:val="32"/>
          <w:szCs w:val="32"/>
        </w:rPr>
      </w:pPr>
      <w:r>
        <w:rPr>
          <w:rFonts w:hint="eastAsia" w:eastAsia="黑体"/>
          <w:sz w:val="32"/>
          <w:szCs w:val="32"/>
        </w:rPr>
        <w:t>附件</w:t>
      </w:r>
      <w:r>
        <w:rPr>
          <w:rFonts w:eastAsia="黑体"/>
          <w:sz w:val="32"/>
          <w:szCs w:val="32"/>
        </w:rPr>
        <w:t>1</w:t>
      </w:r>
    </w:p>
    <w:p>
      <w:pPr>
        <w:spacing w:line="600" w:lineRule="exact"/>
        <w:jc w:val="center"/>
        <w:outlineLvl w:val="0"/>
        <w:rPr>
          <w:rFonts w:ascii="黑体" w:hAnsi="黑体" w:eastAsia="黑体" w:cs="黑体"/>
          <w:sz w:val="36"/>
          <w:szCs w:val="36"/>
        </w:rPr>
      </w:pPr>
      <w:bookmarkStart w:id="59" w:name="_Toc15396616"/>
    </w:p>
    <w:p>
      <w:pPr>
        <w:spacing w:line="600" w:lineRule="exact"/>
        <w:jc w:val="center"/>
        <w:outlineLvl w:val="0"/>
        <w:rPr>
          <w:rFonts w:ascii="黑体" w:hAnsi="黑体" w:eastAsia="黑体"/>
          <w:sz w:val="36"/>
          <w:szCs w:val="36"/>
        </w:rPr>
      </w:pPr>
      <w:r>
        <w:rPr>
          <w:rFonts w:hint="eastAsia" w:ascii="黑体" w:hAnsi="黑体" w:eastAsia="黑体" w:cs="黑体"/>
          <w:sz w:val="36"/>
          <w:szCs w:val="36"/>
        </w:rPr>
        <w:t>市信访局</w:t>
      </w:r>
      <w:r>
        <w:rPr>
          <w:rFonts w:ascii="黑体" w:hAnsi="黑体" w:eastAsia="黑体" w:cs="黑体"/>
          <w:sz w:val="36"/>
          <w:szCs w:val="36"/>
        </w:rPr>
        <w:t>20</w:t>
      </w:r>
      <w:r>
        <w:rPr>
          <w:rFonts w:hint="eastAsia" w:ascii="黑体" w:hAnsi="黑体" w:eastAsia="黑体" w:cs="黑体"/>
          <w:sz w:val="36"/>
          <w:szCs w:val="36"/>
        </w:rPr>
        <w:t>20年部门整体支出绩效评价报告</w:t>
      </w:r>
      <w:bookmarkEnd w:id="59"/>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cs="仿宋"/>
          <w:sz w:val="32"/>
          <w:szCs w:val="32"/>
        </w:rPr>
        <w:t>（一）机构组成。市信访局</w:t>
      </w:r>
      <w:r>
        <w:rPr>
          <w:rFonts w:hint="eastAsia" w:ascii="仿宋" w:hAnsi="仿宋" w:eastAsia="仿宋" w:cs="仿宋"/>
          <w:color w:val="000000"/>
          <w:sz w:val="32"/>
          <w:szCs w:val="32"/>
        </w:rPr>
        <w:t>属于市本级财政一级预算单位，行政单位，3个内设机构（办公室、来访和督查督办科、网信办理科），局下属非独立核算事业单位</w:t>
      </w:r>
      <w:r>
        <w:rPr>
          <w:rFonts w:ascii="仿宋" w:hAnsi="仿宋" w:eastAsia="仿宋" w:cs="仿宋"/>
          <w:color w:val="000000"/>
          <w:sz w:val="32"/>
          <w:szCs w:val="32"/>
        </w:rPr>
        <w:t>1</w:t>
      </w:r>
      <w:r>
        <w:rPr>
          <w:rFonts w:hint="eastAsia" w:ascii="仿宋" w:hAnsi="仿宋" w:eastAsia="仿宋" w:cs="仿宋"/>
          <w:color w:val="000000"/>
          <w:sz w:val="32"/>
          <w:szCs w:val="32"/>
        </w:rPr>
        <w:t>个（攀枝花市群众工作服务中心）。</w:t>
      </w:r>
    </w:p>
    <w:p>
      <w:pPr>
        <w:adjustRightInd w:val="0"/>
        <w:snapToGrid w:val="0"/>
        <w:spacing w:line="600" w:lineRule="exact"/>
        <w:ind w:firstLine="640" w:firstLineChars="200"/>
        <w:rPr>
          <w:rFonts w:ascii="方正楷体_GBK" w:hAnsi="方正楷体_GBK" w:eastAsia="方正楷体_GBK"/>
          <w:b/>
          <w:bCs/>
          <w:sz w:val="32"/>
          <w:szCs w:val="32"/>
        </w:rPr>
      </w:pPr>
      <w:r>
        <w:rPr>
          <w:rFonts w:hint="eastAsia" w:ascii="仿宋" w:hAnsi="仿宋" w:eastAsia="仿宋" w:cs="仿宋"/>
          <w:sz w:val="32"/>
          <w:szCs w:val="32"/>
        </w:rPr>
        <w:t>（二）机构职能。</w:t>
      </w:r>
      <w:r>
        <w:rPr>
          <w:rFonts w:hint="eastAsia" w:ascii="仿宋" w:hAnsi="仿宋" w:eastAsia="仿宋" w:cs="仿宋"/>
          <w:color w:val="000000"/>
          <w:sz w:val="32"/>
          <w:szCs w:val="32"/>
        </w:rPr>
        <w:t>负责全市网、电、信、访的受理、交办、转送等工作，研究、分析、督查、协调指导全市信访工作，提出完善政策和改进工作建议等。</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（三）人员概况。</w:t>
      </w:r>
      <w:r>
        <w:rPr>
          <w:rFonts w:hint="eastAsia" w:ascii="仿宋" w:hAnsi="仿宋" w:eastAsia="仿宋" w:cs="仿宋"/>
          <w:color w:val="000000"/>
          <w:sz w:val="32"/>
          <w:szCs w:val="32"/>
        </w:rPr>
        <w:t>现有在职人数19人，离退休人员</w:t>
      </w:r>
      <w:r>
        <w:rPr>
          <w:rFonts w:ascii="仿宋" w:hAnsi="仿宋" w:eastAsia="仿宋" w:cs="仿宋"/>
          <w:color w:val="000000"/>
          <w:sz w:val="32"/>
          <w:szCs w:val="32"/>
        </w:rPr>
        <w:t>5</w:t>
      </w:r>
      <w:r>
        <w:rPr>
          <w:rFonts w:hint="eastAsia" w:ascii="仿宋" w:hAnsi="仿宋" w:eastAsia="仿宋" w:cs="仿宋"/>
          <w:color w:val="000000"/>
          <w:sz w:val="32"/>
          <w:szCs w:val="32"/>
        </w:rPr>
        <w:t>人。</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600" w:lineRule="exact"/>
        <w:ind w:firstLine="640" w:firstLineChars="200"/>
        <w:rPr>
          <w:rFonts w:eastAsia="仿宋"/>
          <w:color w:val="000000"/>
          <w:sz w:val="32"/>
          <w:szCs w:val="32"/>
        </w:rPr>
      </w:pPr>
      <w:r>
        <w:rPr>
          <w:rFonts w:hint="eastAsia" w:ascii="仿宋" w:hAnsi="仿宋" w:eastAsia="仿宋" w:cs="仿宋"/>
          <w:sz w:val="32"/>
          <w:szCs w:val="32"/>
        </w:rPr>
        <w:t>（一）部门财政资金收入情况。</w:t>
      </w:r>
      <w:r>
        <w:rPr>
          <w:rFonts w:ascii="仿宋" w:hAnsi="仿宋" w:eastAsia="仿宋" w:cs="仿宋"/>
          <w:sz w:val="32"/>
          <w:szCs w:val="32"/>
        </w:rPr>
        <w:t>20</w:t>
      </w:r>
      <w:r>
        <w:rPr>
          <w:rFonts w:hint="eastAsia" w:ascii="仿宋" w:hAnsi="仿宋" w:eastAsia="仿宋" w:cs="仿宋"/>
          <w:sz w:val="32"/>
          <w:szCs w:val="32"/>
        </w:rPr>
        <w:t>20年，市信访局收入预算445.86万元，其中，行政运行214.93万元，事业运行86.74万元，信访事务50.69万元，一般行政管理事务20万元，组织事务6.27万元，社会保障和就业34.72万元，住房公积金27.01万元，土地开发收入5万元，人力资源事务0.5万元，其他0.04万元。</w:t>
      </w:r>
      <w:r>
        <w:rPr>
          <w:rFonts w:hint="eastAsia" w:eastAsia="仿宋"/>
          <w:color w:val="000000"/>
          <w:sz w:val="32"/>
          <w:szCs w:val="32"/>
        </w:rPr>
        <w:t>较上年减少96.68万元，同比下降17.82%。年初结转和结余</w:t>
      </w:r>
      <w:r>
        <w:rPr>
          <w:rFonts w:hint="eastAsia" w:eastAsia="仿宋"/>
          <w:sz w:val="32"/>
          <w:szCs w:val="32"/>
        </w:rPr>
        <w:t>40</w:t>
      </w:r>
      <w:r>
        <w:rPr>
          <w:rFonts w:hint="eastAsia" w:eastAsia="仿宋"/>
          <w:color w:val="000000"/>
          <w:sz w:val="32"/>
          <w:szCs w:val="32"/>
        </w:rPr>
        <w:t>万元。</w:t>
      </w:r>
    </w:p>
    <w:p>
      <w:pPr>
        <w:spacing w:line="600" w:lineRule="exact"/>
        <w:ind w:firstLine="640" w:firstLineChars="200"/>
        <w:rPr>
          <w:rFonts w:eastAsia="仿宋"/>
          <w:color w:val="000000"/>
          <w:sz w:val="32"/>
          <w:szCs w:val="32"/>
        </w:rPr>
      </w:pPr>
      <w:r>
        <w:rPr>
          <w:rFonts w:hint="eastAsia" w:ascii="仿宋" w:hAnsi="仿宋" w:eastAsia="仿宋" w:cs="仿宋"/>
          <w:sz w:val="32"/>
          <w:szCs w:val="32"/>
        </w:rPr>
        <w:t>（二）部门财政资金支出情况。2020年支出474.59万元，</w:t>
      </w:r>
      <w:r>
        <w:rPr>
          <w:rFonts w:hint="eastAsia" w:eastAsia="仿宋"/>
          <w:color w:val="000000"/>
          <w:sz w:val="32"/>
          <w:szCs w:val="32"/>
        </w:rPr>
        <w:t>较上年减少27.95万元，同比下降5.57%。其中：行政运行214.92万元，一般行政管理事务8.74万元，信访事务90.69万元，事业运行86.74万元，组织事务6.27万元，社会保障和就业支出34.72万元，人力资源事务0.5万元，土地开发支出5万元，住房公积金27.01万元。年末结转和结余</w:t>
      </w:r>
      <w:r>
        <w:rPr>
          <w:rFonts w:hint="eastAsia" w:eastAsia="仿宋"/>
          <w:sz w:val="32"/>
          <w:szCs w:val="32"/>
        </w:rPr>
        <w:t>11.26</w:t>
      </w:r>
      <w:r>
        <w:rPr>
          <w:rFonts w:hint="eastAsia" w:eastAsia="仿宋"/>
          <w:color w:val="000000"/>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一）部门预算管理。我局严格制定绩效目标任务，按照预算执行，经费开支均符合相关规定，不存在无预算、超预算、超标准、超范围开支；不存在财政资金闲置；不存在隐匿收入和资产处置收入等情况。2020年，顺利完成各项目标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（二）结果应用情况。</w:t>
      </w:r>
      <w:r>
        <w:rPr>
          <w:rFonts w:ascii="仿宋" w:hAnsi="仿宋" w:eastAsia="仿宋" w:cs="仿宋"/>
          <w:sz w:val="32"/>
          <w:szCs w:val="32"/>
        </w:rPr>
        <w:t>20</w:t>
      </w:r>
      <w:r>
        <w:rPr>
          <w:rFonts w:hint="eastAsia" w:ascii="仿宋" w:hAnsi="仿宋" w:eastAsia="仿宋" w:cs="仿宋"/>
          <w:sz w:val="32"/>
          <w:szCs w:val="32"/>
        </w:rPr>
        <w:t>20年，我局加强了整体支出绩效评价，注重自评质量、注重绩效目标公开，加强评价结果整改，确保了全年目标任务的完成。</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（一）评价结论。自评工作开展及时，效果突出。</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ascii="仿宋_GB2312" w:hAnsi="黑体" w:eastAsia="仿宋_GB2312"/>
          <w:color w:val="000000"/>
          <w:sz w:val="32"/>
          <w:szCs w:val="32"/>
        </w:rPr>
      </w:pPr>
      <w:r>
        <w:rPr>
          <w:rFonts w:hint="eastAsia" w:ascii="仿宋" w:hAnsi="仿宋" w:eastAsia="仿宋" w:cs="仿宋"/>
          <w:sz w:val="32"/>
          <w:szCs w:val="32"/>
        </w:rPr>
        <w:t>（二）存在问题。预算执行中，存在经费不足的情况。</w:t>
      </w:r>
    </w:p>
    <w:p>
      <w:pPr>
        <w:pBdr>
          <w:top w:val="single" w:color="FFFFFF" w:sz="4" w:space="0"/>
          <w:left w:val="single" w:color="FFFFFF" w:sz="4" w:space="31"/>
          <w:bottom w:val="single" w:color="FFFFFF" w:sz="4" w:space="29"/>
          <w:right w:val="single" w:color="FFFFFF" w:sz="4" w:space="31"/>
        </w:pBd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（三）改进建议。</w:t>
      </w:r>
      <w:r>
        <w:rPr>
          <w:rFonts w:hint="eastAsia" w:ascii="仿宋" w:hAnsi="仿宋" w:eastAsia="仿宋" w:cs="仿宋"/>
          <w:kern w:val="0"/>
          <w:sz w:val="32"/>
          <w:szCs w:val="32"/>
        </w:rPr>
        <w:t>加强财经纪律等相关规定学习、培训，进一步增强绩效评价能力。</w:t>
      </w:r>
    </w:p>
    <w:p>
      <w:pPr>
        <w:pStyle w:val="3"/>
        <w:rPr>
          <w:rStyle w:val="17"/>
          <w:rFonts w:ascii="仿宋" w:hAnsi="仿宋" w:eastAsia="仿宋" w:cs="仿宋"/>
          <w:b w:val="0"/>
          <w:bCs w:val="0"/>
        </w:rPr>
      </w:pPr>
      <w:bookmarkStart w:id="60" w:name="_Toc15396617"/>
      <w:r>
        <w:rPr>
          <w:rStyle w:val="17"/>
          <w:rFonts w:hint="eastAsia" w:ascii="仿宋" w:hAnsi="仿宋" w:eastAsia="仿宋" w:cs="仿宋"/>
          <w:b w:val="0"/>
          <w:bCs w:val="0"/>
        </w:rPr>
        <w:t>附件</w:t>
      </w:r>
      <w:r>
        <w:rPr>
          <w:rStyle w:val="17"/>
          <w:rFonts w:ascii="仿宋" w:hAnsi="仿宋" w:eastAsia="仿宋" w:cs="仿宋"/>
          <w:b w:val="0"/>
          <w:bCs w:val="0"/>
        </w:rPr>
        <w:t>2</w:t>
      </w:r>
      <w:bookmarkEnd w:id="60"/>
    </w:p>
    <w:p>
      <w:pPr>
        <w:spacing w:line="580" w:lineRule="exact"/>
        <w:jc w:val="center"/>
        <w:rPr>
          <w:rFonts w:ascii="黑体" w:hAnsi="黑体" w:eastAsia="黑体"/>
          <w:sz w:val="36"/>
          <w:szCs w:val="36"/>
        </w:rPr>
      </w:pPr>
      <w:r>
        <w:rPr>
          <w:rFonts w:hint="eastAsia" w:ascii="黑体" w:hAnsi="黑体" w:eastAsia="黑体" w:cs="黑体"/>
          <w:sz w:val="36"/>
          <w:szCs w:val="36"/>
        </w:rPr>
        <w:t>市信访局项目</w:t>
      </w:r>
      <w:r>
        <w:rPr>
          <w:rFonts w:ascii="黑体" w:hAnsi="黑体" w:eastAsia="黑体" w:cs="黑体"/>
          <w:sz w:val="36"/>
          <w:szCs w:val="36"/>
        </w:rPr>
        <w:t>20</w:t>
      </w:r>
      <w:r>
        <w:rPr>
          <w:rFonts w:hint="eastAsia" w:ascii="黑体" w:hAnsi="黑体" w:eastAsia="黑体" w:cs="黑体"/>
          <w:sz w:val="36"/>
          <w:szCs w:val="36"/>
        </w:rPr>
        <w:t>20年绩效评价报告</w:t>
      </w: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为保障全市信访工作的开展，加强我市驻成都信访工作力量，依法处置非正常上访行为，切实做好群众进京赴省上访处理工作，维护正常上访秩序，确保社会安全和谐稳定，市信访局</w:t>
      </w:r>
      <w:r>
        <w:rPr>
          <w:rFonts w:ascii="仿宋" w:hAnsi="仿宋" w:eastAsia="仿宋" w:cs="仿宋"/>
          <w:sz w:val="32"/>
          <w:szCs w:val="32"/>
        </w:rPr>
        <w:t>20</w:t>
      </w:r>
      <w:r>
        <w:rPr>
          <w:rFonts w:hint="eastAsia" w:ascii="仿宋" w:hAnsi="仿宋" w:eastAsia="仿宋" w:cs="仿宋"/>
          <w:sz w:val="32"/>
          <w:szCs w:val="32"/>
        </w:rPr>
        <w:t>20年按照合同及工作需要申报了包括“</w:t>
      </w:r>
      <w:r>
        <w:rPr>
          <w:rFonts w:hint="eastAsia" w:eastAsia="仿宋_GB2312"/>
          <w:sz w:val="32"/>
          <w:szCs w:val="32"/>
        </w:rPr>
        <w:t>驻成都信访联络站工作经费</w:t>
      </w:r>
      <w:r>
        <w:rPr>
          <w:rFonts w:hint="eastAsia" w:ascii="仿宋" w:hAnsi="仿宋" w:eastAsia="仿宋" w:cs="仿宋"/>
          <w:sz w:val="32"/>
          <w:szCs w:val="32"/>
        </w:rPr>
        <w:t>”</w:t>
      </w:r>
      <w:r>
        <w:rPr>
          <w:rFonts w:hint="eastAsia" w:eastAsia="仿宋_GB2312"/>
          <w:sz w:val="32"/>
          <w:szCs w:val="32"/>
        </w:rPr>
        <w:t>、“援藏援彝干部人才补助经费”、“业务运行费”、“接送上访群众租车费”、“聘请法律顾问经费”、“维稳专项经费”、“保洁费”</w:t>
      </w:r>
      <w:r>
        <w:rPr>
          <w:rFonts w:hint="eastAsia" w:ascii="仿宋" w:hAnsi="仿宋" w:eastAsia="仿宋" w:cs="仿宋"/>
          <w:sz w:val="32"/>
          <w:szCs w:val="32"/>
        </w:rPr>
        <w:t>等7个项目，并按照工作需要，结合信访工作实际，对资金使用进行了合理的安排。2020年，项目预算支出总计104.43万元。为扎实推进项目开展，严格项目预算管理，我局高度重视，认真开展了项目支出绩效评价。</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二、项目资金申报及使用情况</w:t>
      </w:r>
    </w:p>
    <w:p>
      <w:pPr>
        <w:adjustRightInd w:val="0"/>
        <w:snapToGrid w:val="0"/>
        <w:spacing w:line="600" w:lineRule="exact"/>
        <w:ind w:firstLine="629" w:firstLineChars="196"/>
        <w:rPr>
          <w:rFonts w:eastAsia="楷体_GB2312"/>
          <w:b/>
          <w:sz w:val="32"/>
          <w:szCs w:val="32"/>
          <w:lang w:val="zh-CN"/>
        </w:rPr>
      </w:pPr>
      <w:r>
        <w:rPr>
          <w:rFonts w:hint="eastAsia" w:eastAsia="楷体_GB2312"/>
          <w:b/>
          <w:sz w:val="32"/>
          <w:szCs w:val="32"/>
          <w:lang w:val="zh-CN"/>
        </w:rPr>
        <w:t>（一）项目资金申报及批复情况。</w:t>
      </w:r>
      <w:r>
        <w:rPr>
          <w:rFonts w:hint="eastAsia" w:eastAsia="仿宋_GB2312"/>
          <w:sz w:val="32"/>
          <w:szCs w:val="32"/>
          <w:lang w:val="zh-CN"/>
        </w:rPr>
        <w:t>按照编制2020年预算工作相关要求，我局严格按照程序，制定项目绩效申报表，并加强与财政部门的沟通，提供合同等印证资料，并按时间节点上报预算编制相关材料。</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w:t>
      </w:r>
      <w:r>
        <w:rPr>
          <w:rFonts w:hint="eastAsia" w:eastAsia="仿宋_GB2312"/>
          <w:sz w:val="32"/>
          <w:szCs w:val="32"/>
          <w:lang w:val="zh-CN"/>
        </w:rPr>
        <w:t>。市财政局结合工作实际，及时了解项目相关情况，给信访工作给予了大力支持，核定我局项目绩效资金计划，及时到位。我局在资金使用过程中对资金使用的安全性、规范性及有效性进行了重点分析，在资金支付范围、支付标准、支付进度、支付依据等方面均合规合法、均与预算相符。</w:t>
      </w:r>
    </w:p>
    <w:p>
      <w:pPr>
        <w:spacing w:line="580" w:lineRule="exact"/>
        <w:ind w:firstLine="642" w:firstLineChars="200"/>
        <w:rPr>
          <w:rFonts w:ascii="仿宋" w:hAnsi="仿宋" w:eastAsia="仿宋"/>
          <w:sz w:val="32"/>
          <w:szCs w:val="32"/>
        </w:rPr>
      </w:pPr>
      <w:r>
        <w:rPr>
          <w:rFonts w:hint="eastAsia" w:eastAsia="楷体_GB2312"/>
          <w:b/>
          <w:sz w:val="32"/>
          <w:szCs w:val="32"/>
          <w:lang w:val="zh-CN"/>
        </w:rPr>
        <w:t>（三）项目财务管理情况。</w:t>
      </w:r>
      <w:r>
        <w:rPr>
          <w:rFonts w:hint="eastAsia" w:eastAsia="仿宋_GB2312"/>
          <w:sz w:val="32"/>
          <w:szCs w:val="32"/>
          <w:lang w:val="zh-CN"/>
        </w:rPr>
        <w:t>我局在各项目实施中，</w:t>
      </w:r>
      <w:r>
        <w:rPr>
          <w:rFonts w:hint="eastAsia" w:ascii="仿宋" w:hAnsi="仿宋" w:eastAsia="仿宋" w:cs="仿宋"/>
          <w:sz w:val="32"/>
          <w:szCs w:val="32"/>
        </w:rPr>
        <w:t>严格预算，严格控制，科学合理使用，各项资金适时支出均完成预算</w:t>
      </w:r>
      <w:r>
        <w:rPr>
          <w:rFonts w:ascii="仿宋" w:hAnsi="仿宋" w:eastAsia="仿宋" w:cs="仿宋"/>
          <w:sz w:val="32"/>
          <w:szCs w:val="32"/>
        </w:rPr>
        <w:t>100%</w:t>
      </w:r>
      <w:r>
        <w:rPr>
          <w:rFonts w:hint="eastAsia" w:ascii="仿宋" w:hAnsi="仿宋" w:eastAsia="仿宋" w:cs="仿宋"/>
          <w:sz w:val="32"/>
          <w:szCs w:val="32"/>
        </w:rPr>
        <w:t>。</w:t>
      </w:r>
      <w:r>
        <w:rPr>
          <w:rFonts w:hint="eastAsia" w:eastAsia="仿宋_GB2312"/>
          <w:sz w:val="32"/>
          <w:szCs w:val="32"/>
          <w:lang w:val="zh-CN"/>
        </w:rPr>
        <w:t>单位财务管理制度健全，严格执行财务管理制度，及时处理账务，规范会计核算。</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pStyle w:val="7"/>
        <w:spacing w:before="93" w:line="580" w:lineRule="exact"/>
        <w:ind w:firstLine="640" w:firstLineChars="200"/>
        <w:jc w:val="left"/>
        <w:rPr>
          <w:rFonts w:ascii="Times New Roman" w:hAnsi="Times New Roman" w:eastAsia="仿宋_GB2312"/>
          <w:sz w:val="32"/>
          <w:szCs w:val="32"/>
        </w:rPr>
      </w:pPr>
      <w:r>
        <w:rPr>
          <w:rFonts w:hint="eastAsia" w:eastAsia="仿宋_GB2312"/>
          <w:sz w:val="32"/>
          <w:szCs w:val="32"/>
          <w:lang w:val="zh-CN"/>
        </w:rPr>
        <w:t>我局</w:t>
      </w:r>
      <w:r>
        <w:rPr>
          <w:rFonts w:ascii="Times New Roman" w:hAnsi="Times New Roman" w:eastAsia="仿宋_GB2312"/>
          <w:color w:val="000000"/>
          <w:sz w:val="32"/>
          <w:szCs w:val="32"/>
        </w:rPr>
        <w:t>按照《中共攀枝花市委办公室 攀枝花市人民政府办公室&lt;关于贯彻落实四川省全面实施预算绩效管理实施意见的工作方案&gt;的通知》要求，严格贯彻执行中央八项规定、省市“十项规定”，各项开支厉行节约，按时保质保量圆满完成了各项重点工作任务，</w:t>
      </w:r>
      <w:r>
        <w:rPr>
          <w:rFonts w:ascii="Times New Roman" w:hAnsi="Times New Roman" w:eastAsia="仿宋_GB2312"/>
          <w:sz w:val="32"/>
          <w:szCs w:val="32"/>
        </w:rPr>
        <w:t xml:space="preserve"> </w:t>
      </w:r>
      <w:r>
        <w:rPr>
          <w:rFonts w:ascii="Times New Roman" w:hAnsi="Times New Roman" w:eastAsia="仿宋_GB2312"/>
          <w:color w:val="000000"/>
          <w:sz w:val="32"/>
          <w:szCs w:val="32"/>
        </w:rPr>
        <w:t>在</w:t>
      </w:r>
      <w:r>
        <w:rPr>
          <w:rFonts w:ascii="Times New Roman" w:hAnsi="Times New Roman" w:eastAsia="仿宋_GB2312"/>
          <w:sz w:val="32"/>
          <w:szCs w:val="32"/>
        </w:rPr>
        <w:t>产出指标完成情况、效益指标完成情况、满意度指标完成情况等方面，全部达到全年预期绩效目标，全面推动了全市信访工作的高质量发展。</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spacing w:line="580" w:lineRule="exact"/>
        <w:ind w:firstLine="642" w:firstLineChars="200"/>
        <w:rPr>
          <w:rFonts w:ascii="仿宋" w:hAnsi="仿宋" w:eastAsia="仿宋" w:cs="仿宋"/>
          <w:sz w:val="32"/>
          <w:szCs w:val="32"/>
        </w:rPr>
      </w:pPr>
      <w:r>
        <w:rPr>
          <w:rFonts w:hint="eastAsia" w:eastAsia="楷体_GB2312"/>
          <w:b/>
          <w:sz w:val="32"/>
          <w:szCs w:val="32"/>
          <w:lang w:val="zh-CN"/>
        </w:rPr>
        <w:t>（一）项目完成情况。</w:t>
      </w:r>
      <w:r>
        <w:rPr>
          <w:rFonts w:hint="eastAsia" w:ascii="仿宋" w:hAnsi="仿宋" w:eastAsia="仿宋" w:cs="仿宋"/>
          <w:sz w:val="32"/>
          <w:szCs w:val="32"/>
        </w:rPr>
        <w:t>各个项目均按照计划推进，并圆满完成各项目标任务，有力推进了信访工作开展，为确保社会大局和谐稳定提供了保障。</w:t>
      </w:r>
    </w:p>
    <w:p>
      <w:pPr>
        <w:spacing w:line="580" w:lineRule="exact"/>
        <w:ind w:firstLine="642" w:firstLineChars="200"/>
        <w:rPr>
          <w:rFonts w:ascii="仿宋" w:hAnsi="仿宋" w:eastAsia="仿宋" w:cs="仿宋"/>
          <w:sz w:val="32"/>
          <w:szCs w:val="32"/>
        </w:rPr>
      </w:pPr>
      <w:r>
        <w:rPr>
          <w:rFonts w:hint="eastAsia" w:eastAsia="楷体_GB2312"/>
          <w:b/>
          <w:sz w:val="32"/>
          <w:szCs w:val="32"/>
          <w:lang w:val="zh-CN"/>
        </w:rPr>
        <w:t>（二）项目效益情况。</w:t>
      </w:r>
      <w:r>
        <w:rPr>
          <w:rFonts w:hint="eastAsia" w:ascii="仿宋" w:hAnsi="仿宋" w:eastAsia="仿宋" w:cs="仿宋"/>
          <w:sz w:val="32"/>
          <w:szCs w:val="32"/>
        </w:rPr>
        <w:t>详见项目评价得分表</w:t>
      </w:r>
    </w:p>
    <w:p>
      <w:pPr>
        <w:jc w:val="center"/>
        <w:rPr>
          <w:rFonts w:ascii="黑体" w:hAnsi="黑体" w:eastAsia="黑体"/>
          <w:color w:val="000000"/>
          <w:sz w:val="32"/>
          <w:szCs w:val="32"/>
        </w:rPr>
      </w:pPr>
      <w:r>
        <w:rPr>
          <w:rFonts w:ascii="黑体" w:hAnsi="黑体" w:eastAsia="黑体" w:cs="黑体"/>
          <w:color w:val="000000"/>
          <w:sz w:val="32"/>
          <w:szCs w:val="32"/>
        </w:rPr>
        <w:t>20</w:t>
      </w:r>
      <w:r>
        <w:rPr>
          <w:rFonts w:hint="eastAsia" w:ascii="黑体" w:hAnsi="黑体" w:eastAsia="黑体" w:cs="黑体"/>
          <w:color w:val="000000"/>
          <w:sz w:val="32"/>
          <w:szCs w:val="32"/>
        </w:rPr>
        <w:t>20年项目支出总体绩效评价得分表</w:t>
      </w:r>
    </w:p>
    <w:tbl>
      <w:tblPr>
        <w:tblStyle w:val="13"/>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26"/>
        <w:gridCol w:w="2570"/>
        <w:gridCol w:w="101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1418" w:type="dxa"/>
            <w:vAlign w:val="center"/>
          </w:tcPr>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单位名称</w:t>
            </w:r>
            <w:r>
              <w:rPr>
                <w:rFonts w:ascii="宋体" w:hAnsi="宋体" w:cs="宋体"/>
                <w:b/>
                <w:bCs/>
                <w:color w:val="000000"/>
                <w:kern w:val="0"/>
                <w:sz w:val="20"/>
                <w:szCs w:val="20"/>
              </w:rPr>
              <w:t>/</w:t>
            </w:r>
          </w:p>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项目名称</w:t>
            </w:r>
          </w:p>
        </w:tc>
        <w:tc>
          <w:tcPr>
            <w:tcW w:w="6680" w:type="dxa"/>
            <w:gridSpan w:val="4"/>
            <w:vAlign w:val="center"/>
          </w:tcPr>
          <w:p>
            <w:pPr>
              <w:widowControl/>
              <w:spacing w:line="260" w:lineRule="exact"/>
              <w:jc w:val="center"/>
              <w:rPr>
                <w:rFonts w:ascii="宋体"/>
                <w:b/>
                <w:bCs/>
                <w:color w:val="000000"/>
                <w:kern w:val="0"/>
                <w:sz w:val="18"/>
                <w:szCs w:val="18"/>
              </w:rPr>
            </w:pPr>
            <w:r>
              <w:rPr>
                <w:rFonts w:hint="eastAsia" w:ascii="宋体" w:hAnsi="宋体" w:cs="宋体"/>
                <w:b/>
                <w:bCs/>
                <w:color w:val="000000"/>
                <w:kern w:val="0"/>
                <w:sz w:val="18"/>
                <w:szCs w:val="18"/>
              </w:rPr>
              <w:t>市信访局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18" w:type="dxa"/>
            <w:vAlign w:val="center"/>
          </w:tcPr>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指标</w:t>
            </w:r>
          </w:p>
        </w:tc>
        <w:tc>
          <w:tcPr>
            <w:tcW w:w="2126" w:type="dxa"/>
            <w:vAlign w:val="center"/>
          </w:tcPr>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指标</w:t>
            </w:r>
          </w:p>
        </w:tc>
        <w:tc>
          <w:tcPr>
            <w:tcW w:w="2570" w:type="dxa"/>
            <w:vAlign w:val="center"/>
          </w:tcPr>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三级指标</w:t>
            </w:r>
          </w:p>
        </w:tc>
        <w:tc>
          <w:tcPr>
            <w:tcW w:w="1012" w:type="dxa"/>
            <w:vAlign w:val="center"/>
          </w:tcPr>
          <w:p>
            <w:pPr>
              <w:widowControl/>
              <w:spacing w:line="260" w:lineRule="exact"/>
              <w:jc w:val="center"/>
              <w:rPr>
                <w:rFonts w:ascii="宋体"/>
                <w:b/>
                <w:bCs/>
                <w:color w:val="000000"/>
                <w:kern w:val="0"/>
                <w:sz w:val="20"/>
                <w:szCs w:val="20"/>
              </w:rPr>
            </w:pPr>
            <w:r>
              <w:rPr>
                <w:rFonts w:hint="eastAsia" w:ascii="宋体" w:hAnsi="宋体" w:cs="宋体"/>
                <w:b/>
                <w:bCs/>
                <w:color w:val="000000"/>
                <w:kern w:val="0"/>
                <w:sz w:val="20"/>
                <w:szCs w:val="20"/>
              </w:rPr>
              <w:t>分值</w:t>
            </w:r>
          </w:p>
        </w:tc>
        <w:tc>
          <w:tcPr>
            <w:tcW w:w="972" w:type="dxa"/>
            <w:vAlign w:val="center"/>
          </w:tcPr>
          <w:p>
            <w:pPr>
              <w:widowControl/>
              <w:spacing w:line="260" w:lineRule="exact"/>
              <w:jc w:val="center"/>
              <w:rPr>
                <w:rFonts w:ascii="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项目决策</w:t>
            </w:r>
          </w:p>
        </w:tc>
        <w:tc>
          <w:tcPr>
            <w:tcW w:w="2126"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科学决策</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必要性</w:t>
            </w:r>
            <w:r>
              <w:rPr>
                <w:rFonts w:ascii="宋体"/>
                <w:color w:val="000000"/>
                <w:kern w:val="0"/>
                <w:sz w:val="20"/>
                <w:szCs w:val="20"/>
              </w:rPr>
              <w:br w:type="textWrapping"/>
            </w:r>
            <w:r>
              <w:rPr>
                <w:rFonts w:hint="eastAsia" w:ascii="宋体" w:hAnsi="宋体" w:cs="宋体"/>
                <w:color w:val="000000"/>
                <w:kern w:val="0"/>
                <w:sz w:val="20"/>
                <w:szCs w:val="20"/>
              </w:rPr>
              <w:t>（政策依据</w:t>
            </w:r>
            <w:r>
              <w:rPr>
                <w:rFonts w:ascii="宋体" w:hAnsi="宋体" w:cs="宋体"/>
                <w:color w:val="000000"/>
                <w:kern w:val="0"/>
                <w:sz w:val="20"/>
                <w:szCs w:val="20"/>
              </w:rPr>
              <w:t>)</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可行性</w:t>
            </w:r>
            <w:r>
              <w:rPr>
                <w:rFonts w:ascii="宋体"/>
                <w:color w:val="000000"/>
                <w:kern w:val="0"/>
                <w:sz w:val="20"/>
                <w:szCs w:val="20"/>
              </w:rPr>
              <w:br w:type="textWrapping"/>
            </w:r>
            <w:r>
              <w:rPr>
                <w:rFonts w:hint="eastAsia" w:ascii="宋体" w:hAnsi="宋体" w:cs="宋体"/>
                <w:color w:val="000000"/>
                <w:kern w:val="0"/>
                <w:sz w:val="20"/>
                <w:szCs w:val="20"/>
              </w:rPr>
              <w:t>（政策完善）</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绩效目标</w:t>
            </w:r>
            <w:r>
              <w:rPr>
                <w:rFonts w:ascii="宋体" w:hAnsi="宋体" w:cs="宋体"/>
                <w:color w:val="000000"/>
                <w:kern w:val="0"/>
                <w:sz w:val="20"/>
                <w:szCs w:val="20"/>
              </w:rPr>
              <w:t xml:space="preserve">    </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明确性</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合理性</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18"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项目管理</w:t>
            </w:r>
          </w:p>
        </w:tc>
        <w:tc>
          <w:tcPr>
            <w:tcW w:w="2126"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7</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资金管理</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资金分配</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3</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textDirection w:val="tbRlV"/>
            <w:vAlign w:val="center"/>
          </w:tcPr>
          <w:p>
            <w:pPr>
              <w:widowControl/>
              <w:spacing w:line="260" w:lineRule="exact"/>
              <w:jc w:val="center"/>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资金使用</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4</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3</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项目执行</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执行规范</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3</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8"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（特性指标</w:t>
            </w:r>
            <w:r>
              <w:rPr>
                <w:rFonts w:ascii="宋体" w:hAnsi="宋体" w:cs="宋体"/>
                <w:color w:val="000000"/>
                <w:kern w:val="0"/>
                <w:sz w:val="20"/>
                <w:szCs w:val="20"/>
              </w:rPr>
              <w:t>70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项目绩效</w:t>
            </w:r>
            <w:r>
              <w:rPr>
                <w:rFonts w:ascii="宋体" w:hAnsi="宋体" w:cs="宋体"/>
                <w:color w:val="000000"/>
                <w:kern w:val="0"/>
                <w:sz w:val="20"/>
                <w:szCs w:val="20"/>
              </w:rPr>
              <w:t xml:space="preserve">  </w:t>
            </w:r>
          </w:p>
        </w:tc>
        <w:tc>
          <w:tcPr>
            <w:tcW w:w="2126"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项目完成</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完成数量</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 xml:space="preserve">5 </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完成质量</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 xml:space="preserve">5 </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完成时效</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完成成本</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restart"/>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t>
            </w:r>
            <w:r>
              <w:rPr>
                <w:rFonts w:hint="eastAsia" w:ascii="宋体" w:hAnsi="宋体" w:cs="宋体"/>
                <w:color w:val="000000"/>
                <w:kern w:val="0"/>
                <w:sz w:val="20"/>
                <w:szCs w:val="20"/>
              </w:rPr>
              <w:t>分）</w:t>
            </w:r>
            <w:r>
              <w:rPr>
                <w:rFonts w:ascii="宋体"/>
                <w:color w:val="000000"/>
                <w:kern w:val="0"/>
                <w:sz w:val="20"/>
                <w:szCs w:val="20"/>
              </w:rPr>
              <w:br w:type="textWrapping"/>
            </w:r>
            <w:r>
              <w:rPr>
                <w:rFonts w:hint="eastAsia" w:ascii="宋体" w:hAnsi="宋体" w:cs="宋体"/>
                <w:color w:val="000000"/>
                <w:kern w:val="0"/>
                <w:sz w:val="20"/>
                <w:szCs w:val="20"/>
              </w:rPr>
              <w:t>项目效益</w:t>
            </w: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经济效益（可选项）</w:t>
            </w:r>
          </w:p>
        </w:tc>
        <w:tc>
          <w:tcPr>
            <w:tcW w:w="1012" w:type="dxa"/>
            <w:vMerge w:val="restart"/>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40</w:t>
            </w:r>
          </w:p>
        </w:tc>
        <w:tc>
          <w:tcPr>
            <w:tcW w:w="972" w:type="dxa"/>
            <w:vAlign w:val="center"/>
          </w:tcPr>
          <w:p>
            <w:pPr>
              <w:widowControl/>
              <w:spacing w:line="260" w:lineRule="exact"/>
              <w:jc w:val="center"/>
              <w:rPr>
                <w:rFonts w:asci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社会效益（可选项）</w:t>
            </w:r>
          </w:p>
        </w:tc>
        <w:tc>
          <w:tcPr>
            <w:tcW w:w="1012" w:type="dxa"/>
            <w:vMerge w:val="continue"/>
            <w:vAlign w:val="center"/>
          </w:tcPr>
          <w:p>
            <w:pPr>
              <w:widowControl/>
              <w:spacing w:line="260" w:lineRule="exact"/>
              <w:jc w:val="left"/>
              <w:rPr>
                <w:rFonts w:ascii="宋体"/>
                <w:color w:val="000000"/>
                <w:kern w:val="0"/>
                <w:sz w:val="20"/>
                <w:szCs w:val="20"/>
              </w:rPr>
            </w:pP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生态效益（可选项）</w:t>
            </w:r>
          </w:p>
        </w:tc>
        <w:tc>
          <w:tcPr>
            <w:tcW w:w="1012" w:type="dxa"/>
            <w:vMerge w:val="continue"/>
            <w:vAlign w:val="center"/>
          </w:tcPr>
          <w:p>
            <w:pPr>
              <w:widowControl/>
              <w:spacing w:line="260" w:lineRule="exact"/>
              <w:jc w:val="left"/>
              <w:rPr>
                <w:rFonts w:ascii="宋体"/>
                <w:color w:val="000000"/>
                <w:kern w:val="0"/>
                <w:sz w:val="20"/>
                <w:szCs w:val="20"/>
              </w:rPr>
            </w:pPr>
          </w:p>
        </w:tc>
        <w:tc>
          <w:tcPr>
            <w:tcW w:w="972" w:type="dxa"/>
            <w:vAlign w:val="center"/>
          </w:tcPr>
          <w:p>
            <w:pPr>
              <w:widowControl/>
              <w:spacing w:line="260" w:lineRule="exact"/>
              <w:jc w:val="center"/>
              <w:rPr>
                <w:rFonts w:asci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可持续效益（可选项）</w:t>
            </w:r>
          </w:p>
        </w:tc>
        <w:tc>
          <w:tcPr>
            <w:tcW w:w="1012" w:type="dxa"/>
            <w:vMerge w:val="continue"/>
            <w:vAlign w:val="center"/>
          </w:tcPr>
          <w:p>
            <w:pPr>
              <w:widowControl/>
              <w:spacing w:line="260" w:lineRule="exact"/>
              <w:jc w:val="left"/>
              <w:rPr>
                <w:rFonts w:ascii="宋体"/>
                <w:color w:val="000000"/>
                <w:kern w:val="0"/>
                <w:sz w:val="20"/>
                <w:szCs w:val="20"/>
              </w:rPr>
            </w:pP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公平效率（可选项）</w:t>
            </w:r>
          </w:p>
        </w:tc>
        <w:tc>
          <w:tcPr>
            <w:tcW w:w="1012" w:type="dxa"/>
            <w:vMerge w:val="continue"/>
            <w:vAlign w:val="center"/>
          </w:tcPr>
          <w:p>
            <w:pPr>
              <w:widowControl/>
              <w:spacing w:line="260" w:lineRule="exact"/>
              <w:jc w:val="left"/>
              <w:rPr>
                <w:rFonts w:ascii="宋体"/>
                <w:color w:val="000000"/>
                <w:kern w:val="0"/>
                <w:sz w:val="20"/>
                <w:szCs w:val="20"/>
              </w:rPr>
            </w:pPr>
          </w:p>
        </w:tc>
        <w:tc>
          <w:tcPr>
            <w:tcW w:w="972" w:type="dxa"/>
            <w:vAlign w:val="center"/>
          </w:tcPr>
          <w:p>
            <w:pPr>
              <w:widowControl/>
              <w:spacing w:line="260" w:lineRule="exact"/>
              <w:jc w:val="center"/>
              <w:rPr>
                <w:rFonts w:asci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使用效率（可选项）</w:t>
            </w:r>
          </w:p>
        </w:tc>
        <w:tc>
          <w:tcPr>
            <w:tcW w:w="1012" w:type="dxa"/>
            <w:vMerge w:val="continue"/>
            <w:vAlign w:val="center"/>
          </w:tcPr>
          <w:p>
            <w:pPr>
              <w:widowControl/>
              <w:spacing w:line="260" w:lineRule="exact"/>
              <w:jc w:val="left"/>
              <w:rPr>
                <w:rFonts w:ascii="宋体"/>
                <w:color w:val="000000"/>
                <w:kern w:val="0"/>
                <w:sz w:val="20"/>
                <w:szCs w:val="20"/>
              </w:rPr>
            </w:pPr>
          </w:p>
        </w:tc>
        <w:tc>
          <w:tcPr>
            <w:tcW w:w="972" w:type="dxa"/>
            <w:vAlign w:val="center"/>
          </w:tcPr>
          <w:p>
            <w:pPr>
              <w:widowControl/>
              <w:spacing w:line="260" w:lineRule="exact"/>
              <w:jc w:val="center"/>
              <w:rPr>
                <w:rFonts w:asci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18" w:type="dxa"/>
            <w:vMerge w:val="continue"/>
            <w:vAlign w:val="center"/>
          </w:tcPr>
          <w:p>
            <w:pPr>
              <w:widowControl/>
              <w:spacing w:line="260" w:lineRule="exact"/>
              <w:jc w:val="left"/>
              <w:rPr>
                <w:rFonts w:ascii="宋体"/>
                <w:color w:val="000000"/>
                <w:kern w:val="0"/>
                <w:sz w:val="20"/>
                <w:szCs w:val="20"/>
              </w:rPr>
            </w:pPr>
          </w:p>
        </w:tc>
        <w:tc>
          <w:tcPr>
            <w:tcW w:w="2126" w:type="dxa"/>
            <w:vMerge w:val="continue"/>
            <w:vAlign w:val="center"/>
          </w:tcPr>
          <w:p>
            <w:pPr>
              <w:widowControl/>
              <w:spacing w:line="260" w:lineRule="exact"/>
              <w:jc w:val="left"/>
              <w:rPr>
                <w:rFonts w:ascii="宋体"/>
                <w:color w:val="000000"/>
                <w:kern w:val="0"/>
                <w:sz w:val="20"/>
                <w:szCs w:val="20"/>
              </w:rPr>
            </w:pPr>
          </w:p>
        </w:tc>
        <w:tc>
          <w:tcPr>
            <w:tcW w:w="2570" w:type="dxa"/>
            <w:vAlign w:val="center"/>
          </w:tcPr>
          <w:p>
            <w:pPr>
              <w:widowControl/>
              <w:spacing w:line="260" w:lineRule="exact"/>
              <w:jc w:val="center"/>
              <w:rPr>
                <w:rFonts w:ascii="宋体"/>
                <w:color w:val="000000"/>
                <w:kern w:val="0"/>
                <w:sz w:val="20"/>
                <w:szCs w:val="20"/>
              </w:rPr>
            </w:pPr>
            <w:r>
              <w:rPr>
                <w:rFonts w:hint="eastAsia" w:ascii="宋体" w:hAnsi="宋体" w:cs="宋体"/>
                <w:color w:val="000000"/>
                <w:kern w:val="0"/>
                <w:sz w:val="20"/>
                <w:szCs w:val="20"/>
              </w:rPr>
              <w:t>服务对象满意度</w:t>
            </w:r>
            <w:r>
              <w:rPr>
                <w:rFonts w:ascii="宋体" w:hAnsi="宋体" w:cs="宋体"/>
                <w:color w:val="000000"/>
                <w:kern w:val="0"/>
                <w:sz w:val="20"/>
                <w:szCs w:val="20"/>
              </w:rPr>
              <w:t xml:space="preserve">    </w:t>
            </w:r>
          </w:p>
        </w:tc>
        <w:tc>
          <w:tcPr>
            <w:tcW w:w="101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10</w:t>
            </w:r>
          </w:p>
        </w:tc>
        <w:tc>
          <w:tcPr>
            <w:tcW w:w="972" w:type="dxa"/>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18" w:type="dxa"/>
            <w:vAlign w:val="center"/>
          </w:tcPr>
          <w:p>
            <w:pPr>
              <w:widowControl/>
              <w:spacing w:line="260" w:lineRule="exact"/>
              <w:jc w:val="left"/>
              <w:rPr>
                <w:rFonts w:ascii="宋体"/>
                <w:color w:val="000000"/>
                <w:kern w:val="0"/>
                <w:sz w:val="20"/>
                <w:szCs w:val="20"/>
              </w:rPr>
            </w:pPr>
            <w:r>
              <w:rPr>
                <w:rFonts w:hint="eastAsia" w:ascii="宋体" w:hAnsi="宋体" w:cs="宋体"/>
                <w:color w:val="000000"/>
                <w:kern w:val="0"/>
                <w:sz w:val="20"/>
                <w:szCs w:val="20"/>
              </w:rPr>
              <w:t>总分</w:t>
            </w:r>
          </w:p>
        </w:tc>
        <w:tc>
          <w:tcPr>
            <w:tcW w:w="6680" w:type="dxa"/>
            <w:gridSpan w:val="4"/>
            <w:vAlign w:val="center"/>
          </w:tcPr>
          <w:p>
            <w:pPr>
              <w:widowControl/>
              <w:spacing w:line="260" w:lineRule="exact"/>
              <w:jc w:val="center"/>
              <w:rPr>
                <w:rFonts w:ascii="宋体"/>
                <w:color w:val="000000"/>
                <w:kern w:val="0"/>
                <w:sz w:val="20"/>
                <w:szCs w:val="20"/>
              </w:rPr>
            </w:pPr>
            <w:r>
              <w:rPr>
                <w:rFonts w:ascii="宋体" w:hAnsi="宋体" w:cs="宋体"/>
                <w:color w:val="000000"/>
                <w:kern w:val="0"/>
                <w:sz w:val="20"/>
                <w:szCs w:val="20"/>
              </w:rPr>
              <w:t>100</w:t>
            </w:r>
          </w:p>
        </w:tc>
      </w:tr>
    </w:tbl>
    <w:p>
      <w:pPr>
        <w:pBdr>
          <w:top w:val="single" w:color="FFFFFF" w:sz="4" w:space="0"/>
          <w:left w:val="single" w:color="FFFFFF" w:sz="4" w:space="31"/>
          <w:bottom w:val="single" w:color="FFFFFF" w:sz="4" w:space="29"/>
          <w:right w:val="single" w:color="FFFFFF" w:sz="4" w:space="31"/>
        </w:pBd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pBdr>
          <w:top w:val="single" w:color="FFFFFF" w:sz="4" w:space="0"/>
          <w:left w:val="single" w:color="FFFFFF" w:sz="4" w:space="31"/>
          <w:bottom w:val="single" w:color="FFFFFF" w:sz="4" w:space="29"/>
          <w:right w:val="single" w:color="FFFFFF" w:sz="4" w:space="31"/>
        </w:pBdr>
        <w:adjustRightInd w:val="0"/>
        <w:snapToGrid w:val="0"/>
        <w:spacing w:line="560" w:lineRule="exact"/>
        <w:ind w:firstLine="642"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（一）评价结论。</w:t>
      </w:r>
      <w:r>
        <w:rPr>
          <w:rFonts w:hint="eastAsia" w:ascii="仿宋" w:hAnsi="仿宋" w:eastAsia="仿宋" w:cs="仿宋"/>
          <w:sz w:val="32"/>
          <w:szCs w:val="32"/>
        </w:rPr>
        <w:t>在我局的7个项目中，均按照财政相关规定和信访工作要求设置，以保障信访工作的日常开展，绩效目标设置明确性、合理性。</w:t>
      </w:r>
      <w:r>
        <w:rPr>
          <w:rFonts w:ascii="仿宋" w:hAnsi="仿宋" w:eastAsia="仿宋" w:cs="仿宋"/>
          <w:sz w:val="32"/>
          <w:szCs w:val="32"/>
        </w:rPr>
        <w:t>20</w:t>
      </w:r>
      <w:r>
        <w:rPr>
          <w:rFonts w:hint="eastAsia" w:ascii="仿宋" w:hAnsi="仿宋" w:eastAsia="仿宋" w:cs="仿宋"/>
          <w:sz w:val="32"/>
          <w:szCs w:val="32"/>
        </w:rPr>
        <w:t>20年，我局7个项目顺利完成，在数量、质量、时效、成本上均完成</w:t>
      </w:r>
      <w:r>
        <w:rPr>
          <w:rFonts w:ascii="仿宋" w:hAnsi="仿宋" w:eastAsia="仿宋" w:cs="仿宋"/>
          <w:sz w:val="32"/>
          <w:szCs w:val="32"/>
        </w:rPr>
        <w:t>100%</w:t>
      </w:r>
      <w:r>
        <w:rPr>
          <w:rFonts w:hint="eastAsia" w:ascii="仿宋" w:hAnsi="仿宋" w:eastAsia="仿宋" w:cs="仿宋"/>
          <w:sz w:val="32"/>
          <w:szCs w:val="32"/>
        </w:rPr>
        <w:t>，并取得了一定效益，确保了省、市信访工作各项目标任务的完成，让党委政府放心、群众满意，为社会大局和谐稳定提供了坚强的保障。</w:t>
      </w:r>
    </w:p>
    <w:p>
      <w:pPr>
        <w:pBdr>
          <w:top w:val="single" w:color="FFFFFF" w:sz="4" w:space="0"/>
          <w:left w:val="single" w:color="FFFFFF" w:sz="4" w:space="31"/>
          <w:bottom w:val="single" w:color="FFFFFF" w:sz="4" w:space="29"/>
          <w:right w:val="single" w:color="FFFFFF" w:sz="4" w:space="31"/>
        </w:pBdr>
        <w:adjustRightInd w:val="0"/>
        <w:snapToGrid w:val="0"/>
        <w:spacing w:line="560" w:lineRule="exact"/>
        <w:ind w:firstLine="642" w:firstLineChars="200"/>
        <w:rPr>
          <w:rFonts w:ascii="黑体" w:hAnsi="黑体" w:eastAsia="黑体" w:cs="黑体"/>
          <w:sz w:val="32"/>
          <w:szCs w:val="32"/>
        </w:rPr>
      </w:pPr>
      <w:r>
        <w:rPr>
          <w:rFonts w:hint="eastAsia" w:eastAsia="楷体_GB2312"/>
          <w:b/>
          <w:sz w:val="32"/>
          <w:szCs w:val="32"/>
          <w:lang w:val="zh-CN"/>
        </w:rPr>
        <w:t>（二）存在的问题。</w:t>
      </w:r>
      <w:r>
        <w:rPr>
          <w:rFonts w:hint="eastAsia" w:ascii="仿宋" w:hAnsi="仿宋" w:eastAsia="仿宋" w:cs="仿宋"/>
          <w:sz w:val="32"/>
          <w:szCs w:val="32"/>
        </w:rPr>
        <w:t>项目预算执行中，存在经费不足的情况。</w:t>
      </w:r>
    </w:p>
    <w:p>
      <w:pPr>
        <w:pBdr>
          <w:top w:val="single" w:color="FFFFFF" w:sz="4" w:space="0"/>
          <w:left w:val="single" w:color="FFFFFF" w:sz="4" w:space="31"/>
          <w:bottom w:val="single" w:color="FFFFFF" w:sz="4" w:space="29"/>
          <w:right w:val="single" w:color="FFFFFF" w:sz="4" w:space="31"/>
        </w:pBdr>
        <w:adjustRightInd w:val="0"/>
        <w:snapToGrid w:val="0"/>
        <w:spacing w:line="560" w:lineRule="exact"/>
        <w:ind w:firstLine="674" w:firstLineChars="210"/>
        <w:rPr>
          <w:rFonts w:ascii="黑体" w:hAnsi="黑体" w:eastAsia="黑体"/>
          <w:sz w:val="32"/>
          <w:szCs w:val="32"/>
        </w:rPr>
      </w:pPr>
      <w:r>
        <w:rPr>
          <w:rFonts w:hint="eastAsia" w:eastAsia="楷体_GB2312"/>
          <w:b/>
          <w:sz w:val="32"/>
          <w:szCs w:val="32"/>
          <w:lang w:val="zh-CN"/>
        </w:rPr>
        <w:t>（三）相关建议。</w:t>
      </w:r>
      <w:r>
        <w:rPr>
          <w:rFonts w:hint="eastAsia" w:ascii="仿宋" w:hAnsi="仿宋" w:eastAsia="仿宋" w:cs="仿宋"/>
          <w:sz w:val="32"/>
          <w:szCs w:val="32"/>
        </w:rPr>
        <w:t>加强财务人员的业务学习、培训，熟悉各项财政规定，进一步增强绩效评价能力。</w:t>
      </w:r>
    </w:p>
    <w:p>
      <w:pPr>
        <w:spacing w:line="600" w:lineRule="exact"/>
        <w:jc w:val="center"/>
        <w:outlineLvl w:val="0"/>
        <w:rPr>
          <w:rFonts w:ascii="仿宋_GB2312" w:hAnsi="仿宋_GB2312" w:eastAsia="仿宋_GB2312" w:cs="仿宋_GB2312"/>
          <w:sz w:val="32"/>
          <w:szCs w:val="32"/>
        </w:rPr>
      </w:pPr>
      <w:bookmarkStart w:id="61" w:name="_Toc15396618"/>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3"/>
    </w:p>
    <w:p>
      <w:pPr>
        <w:pStyle w:val="3"/>
        <w:rPr>
          <w:rFonts w:ascii="仿宋" w:hAnsi="仿宋" w:eastAsia="仿宋"/>
          <w:color w:val="000000"/>
        </w:rPr>
      </w:pPr>
      <w:bookmarkStart w:id="64"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4"/>
    </w:p>
    <w:p>
      <w:pPr>
        <w:pStyle w:val="3"/>
        <w:rPr>
          <w:rFonts w:ascii="仿宋" w:hAnsi="仿宋" w:eastAsia="仿宋"/>
          <w:b w:val="0"/>
          <w:color w:val="000000"/>
        </w:rPr>
      </w:pPr>
      <w:bookmarkStart w:id="65"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5"/>
    </w:p>
    <w:p>
      <w:pPr>
        <w:pStyle w:val="3"/>
        <w:rPr>
          <w:rStyle w:val="18"/>
          <w:rFonts w:ascii="仿宋" w:hAnsi="仿宋" w:eastAsia="仿宋"/>
          <w:b w:val="0"/>
          <w:bCs w:val="0"/>
        </w:rPr>
      </w:pPr>
      <w:bookmarkStart w:id="66"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3"/>
    </w:p>
    <w:p>
      <w:pPr>
        <w:pStyle w:val="3"/>
        <w:rPr>
          <w:rStyle w:val="18"/>
          <w:rFonts w:ascii="仿宋" w:hAnsi="仿宋" w:eastAsia="仿宋"/>
          <w:b w:val="0"/>
          <w:bCs w:val="0"/>
        </w:rPr>
      </w:pPr>
      <w:bookmarkStart w:id="74" w:name="_Toc15396631"/>
      <w:r>
        <w:rPr>
          <w:rStyle w:val="18"/>
          <w:rFonts w:hint="eastAsia" w:ascii="仿宋" w:hAnsi="仿宋" w:eastAsia="仿宋"/>
          <w:b w:val="0"/>
          <w:bCs w:val="0"/>
        </w:rPr>
        <w:t>十三、</w:t>
      </w:r>
      <w:r>
        <w:rPr>
          <w:rFonts w:hint="eastAsia" w:ascii="仿宋" w:hAnsi="仿宋" w:eastAsia="仿宋"/>
          <w:b w:val="0"/>
          <w:bCs w:val="0"/>
        </w:rPr>
        <w:t>国有资本经营预算财政拨款收入支出决算表</w:t>
      </w:r>
    </w:p>
    <w:p>
      <w:pPr>
        <w:pStyle w:val="3"/>
        <w:rPr>
          <w:rStyle w:val="18"/>
          <w:rFonts w:ascii="仿宋" w:hAnsi="仿宋" w:eastAsia="仿宋"/>
          <w:b w:val="0"/>
          <w:bCs w:val="0"/>
        </w:rPr>
      </w:pPr>
      <w:r>
        <w:rPr>
          <w:rStyle w:val="18"/>
          <w:rFonts w:hint="eastAsia" w:ascii="仿宋" w:hAnsi="仿宋" w:eastAsia="仿宋"/>
          <w:b w:val="0"/>
          <w:bCs w:val="0"/>
        </w:rPr>
        <w:t>十四、</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84CDD"/>
    <w:rsid w:val="0009184B"/>
    <w:rsid w:val="00094236"/>
    <w:rsid w:val="0009593C"/>
    <w:rsid w:val="00097322"/>
    <w:rsid w:val="000A6A92"/>
    <w:rsid w:val="000B047F"/>
    <w:rsid w:val="000B4943"/>
    <w:rsid w:val="000B5923"/>
    <w:rsid w:val="000B5A48"/>
    <w:rsid w:val="000B6FF3"/>
    <w:rsid w:val="000C3467"/>
    <w:rsid w:val="000C3CA6"/>
    <w:rsid w:val="000D0F8B"/>
    <w:rsid w:val="000D1267"/>
    <w:rsid w:val="000D1D50"/>
    <w:rsid w:val="000D36C1"/>
    <w:rsid w:val="000D5782"/>
    <w:rsid w:val="000E6613"/>
    <w:rsid w:val="000E7119"/>
    <w:rsid w:val="0010200A"/>
    <w:rsid w:val="00105411"/>
    <w:rsid w:val="00107B0C"/>
    <w:rsid w:val="00114E9B"/>
    <w:rsid w:val="00115301"/>
    <w:rsid w:val="001319E1"/>
    <w:rsid w:val="00132A6B"/>
    <w:rsid w:val="00137CC3"/>
    <w:rsid w:val="00137ED6"/>
    <w:rsid w:val="0014145D"/>
    <w:rsid w:val="00142216"/>
    <w:rsid w:val="00142778"/>
    <w:rsid w:val="00144D6A"/>
    <w:rsid w:val="00146448"/>
    <w:rsid w:val="0014729F"/>
    <w:rsid w:val="00151709"/>
    <w:rsid w:val="00157BAB"/>
    <w:rsid w:val="001654D1"/>
    <w:rsid w:val="00165753"/>
    <w:rsid w:val="00174518"/>
    <w:rsid w:val="00180A24"/>
    <w:rsid w:val="0018106D"/>
    <w:rsid w:val="001877A7"/>
    <w:rsid w:val="001879A8"/>
    <w:rsid w:val="00191536"/>
    <w:rsid w:val="00196687"/>
    <w:rsid w:val="001A39A5"/>
    <w:rsid w:val="001B46F1"/>
    <w:rsid w:val="001C0962"/>
    <w:rsid w:val="001D7531"/>
    <w:rsid w:val="001E239B"/>
    <w:rsid w:val="001E4F00"/>
    <w:rsid w:val="001E737D"/>
    <w:rsid w:val="001F0592"/>
    <w:rsid w:val="001F7506"/>
    <w:rsid w:val="002006CD"/>
    <w:rsid w:val="00202B36"/>
    <w:rsid w:val="0020377F"/>
    <w:rsid w:val="00204B7A"/>
    <w:rsid w:val="00204CDE"/>
    <w:rsid w:val="0021101A"/>
    <w:rsid w:val="00220536"/>
    <w:rsid w:val="00233A3B"/>
    <w:rsid w:val="00235629"/>
    <w:rsid w:val="002478CA"/>
    <w:rsid w:val="002539F6"/>
    <w:rsid w:val="00256262"/>
    <w:rsid w:val="00260C38"/>
    <w:rsid w:val="002616C0"/>
    <w:rsid w:val="00265372"/>
    <w:rsid w:val="002662AA"/>
    <w:rsid w:val="002767E5"/>
    <w:rsid w:val="00277339"/>
    <w:rsid w:val="00280496"/>
    <w:rsid w:val="002850A5"/>
    <w:rsid w:val="00294DC9"/>
    <w:rsid w:val="00295495"/>
    <w:rsid w:val="0029664A"/>
    <w:rsid w:val="002A31DE"/>
    <w:rsid w:val="002A3583"/>
    <w:rsid w:val="002B2613"/>
    <w:rsid w:val="002B2F53"/>
    <w:rsid w:val="002B4946"/>
    <w:rsid w:val="002C7E6B"/>
    <w:rsid w:val="002D6D05"/>
    <w:rsid w:val="002D76E5"/>
    <w:rsid w:val="002E7697"/>
    <w:rsid w:val="002F1818"/>
    <w:rsid w:val="002F2FC7"/>
    <w:rsid w:val="002F567B"/>
    <w:rsid w:val="003048BF"/>
    <w:rsid w:val="003216A9"/>
    <w:rsid w:val="00335A74"/>
    <w:rsid w:val="00335AE6"/>
    <w:rsid w:val="0034252C"/>
    <w:rsid w:val="00350355"/>
    <w:rsid w:val="0036561B"/>
    <w:rsid w:val="0037013F"/>
    <w:rsid w:val="00374207"/>
    <w:rsid w:val="00380C92"/>
    <w:rsid w:val="003853E8"/>
    <w:rsid w:val="00390116"/>
    <w:rsid w:val="00391CEF"/>
    <w:rsid w:val="003A31A4"/>
    <w:rsid w:val="003A484F"/>
    <w:rsid w:val="003A4883"/>
    <w:rsid w:val="003B0BE0"/>
    <w:rsid w:val="003B0C1B"/>
    <w:rsid w:val="003B3532"/>
    <w:rsid w:val="003B4CD2"/>
    <w:rsid w:val="003B506E"/>
    <w:rsid w:val="003B688C"/>
    <w:rsid w:val="003B7C6E"/>
    <w:rsid w:val="003C0291"/>
    <w:rsid w:val="003C1929"/>
    <w:rsid w:val="003C39AE"/>
    <w:rsid w:val="003C7B60"/>
    <w:rsid w:val="003D0C0F"/>
    <w:rsid w:val="003D1FB2"/>
    <w:rsid w:val="003D66DA"/>
    <w:rsid w:val="003E1310"/>
    <w:rsid w:val="003E57EA"/>
    <w:rsid w:val="003E6F55"/>
    <w:rsid w:val="00406254"/>
    <w:rsid w:val="0041572C"/>
    <w:rsid w:val="004223DE"/>
    <w:rsid w:val="00425CA0"/>
    <w:rsid w:val="004312DD"/>
    <w:rsid w:val="00434489"/>
    <w:rsid w:val="00437085"/>
    <w:rsid w:val="00443880"/>
    <w:rsid w:val="0044601B"/>
    <w:rsid w:val="004464F4"/>
    <w:rsid w:val="00455839"/>
    <w:rsid w:val="0046665F"/>
    <w:rsid w:val="00471401"/>
    <w:rsid w:val="00473668"/>
    <w:rsid w:val="00473F31"/>
    <w:rsid w:val="00477FA5"/>
    <w:rsid w:val="0048263A"/>
    <w:rsid w:val="00487E5D"/>
    <w:rsid w:val="004A711F"/>
    <w:rsid w:val="004B199D"/>
    <w:rsid w:val="004B4690"/>
    <w:rsid w:val="004C03C8"/>
    <w:rsid w:val="004C352B"/>
    <w:rsid w:val="004C7723"/>
    <w:rsid w:val="004E0A2D"/>
    <w:rsid w:val="004E206B"/>
    <w:rsid w:val="004E6DF7"/>
    <w:rsid w:val="004F0FBD"/>
    <w:rsid w:val="0050046C"/>
    <w:rsid w:val="005019C8"/>
    <w:rsid w:val="00503D5B"/>
    <w:rsid w:val="00505A47"/>
    <w:rsid w:val="00512FDA"/>
    <w:rsid w:val="00520DA0"/>
    <w:rsid w:val="005269D7"/>
    <w:rsid w:val="005544AB"/>
    <w:rsid w:val="00554F81"/>
    <w:rsid w:val="005664BB"/>
    <w:rsid w:val="00566FFA"/>
    <w:rsid w:val="0057481D"/>
    <w:rsid w:val="0058486E"/>
    <w:rsid w:val="00585B33"/>
    <w:rsid w:val="0059014D"/>
    <w:rsid w:val="005B5C64"/>
    <w:rsid w:val="005B71B3"/>
    <w:rsid w:val="005C5337"/>
    <w:rsid w:val="005C549F"/>
    <w:rsid w:val="005C6BD0"/>
    <w:rsid w:val="005C7C1B"/>
    <w:rsid w:val="005D1C8B"/>
    <w:rsid w:val="005D468D"/>
    <w:rsid w:val="005D5CED"/>
    <w:rsid w:val="005E62F9"/>
    <w:rsid w:val="005E72E8"/>
    <w:rsid w:val="005F0D3D"/>
    <w:rsid w:val="005F1A4C"/>
    <w:rsid w:val="005F3C7E"/>
    <w:rsid w:val="00605688"/>
    <w:rsid w:val="006070AF"/>
    <w:rsid w:val="00607E6C"/>
    <w:rsid w:val="006101B1"/>
    <w:rsid w:val="00614E44"/>
    <w:rsid w:val="0062270A"/>
    <w:rsid w:val="00622830"/>
    <w:rsid w:val="00623DA0"/>
    <w:rsid w:val="00623E3B"/>
    <w:rsid w:val="00630AEF"/>
    <w:rsid w:val="006325F8"/>
    <w:rsid w:val="00633463"/>
    <w:rsid w:val="00634C9A"/>
    <w:rsid w:val="006440E4"/>
    <w:rsid w:val="00650ECE"/>
    <w:rsid w:val="00657C8E"/>
    <w:rsid w:val="0066343B"/>
    <w:rsid w:val="00664777"/>
    <w:rsid w:val="006748A4"/>
    <w:rsid w:val="006771E1"/>
    <w:rsid w:val="00681A31"/>
    <w:rsid w:val="00681C6C"/>
    <w:rsid w:val="00681F0F"/>
    <w:rsid w:val="00683E73"/>
    <w:rsid w:val="006A1AF2"/>
    <w:rsid w:val="006A3141"/>
    <w:rsid w:val="006A5E34"/>
    <w:rsid w:val="006B2422"/>
    <w:rsid w:val="006B2B9A"/>
    <w:rsid w:val="006C1937"/>
    <w:rsid w:val="006C5980"/>
    <w:rsid w:val="006D5325"/>
    <w:rsid w:val="006F020C"/>
    <w:rsid w:val="00711F4B"/>
    <w:rsid w:val="007127B7"/>
    <w:rsid w:val="00715B47"/>
    <w:rsid w:val="0071798E"/>
    <w:rsid w:val="00717BBB"/>
    <w:rsid w:val="007416B6"/>
    <w:rsid w:val="00746F48"/>
    <w:rsid w:val="007501F0"/>
    <w:rsid w:val="0075404D"/>
    <w:rsid w:val="0075521C"/>
    <w:rsid w:val="007563EF"/>
    <w:rsid w:val="00760F03"/>
    <w:rsid w:val="0076182A"/>
    <w:rsid w:val="007625A0"/>
    <w:rsid w:val="00767B7E"/>
    <w:rsid w:val="007714A6"/>
    <w:rsid w:val="007770C3"/>
    <w:rsid w:val="00784D24"/>
    <w:rsid w:val="00785FBA"/>
    <w:rsid w:val="00786E4A"/>
    <w:rsid w:val="007875EB"/>
    <w:rsid w:val="0079426B"/>
    <w:rsid w:val="007A55D8"/>
    <w:rsid w:val="007B3C81"/>
    <w:rsid w:val="007C1EB4"/>
    <w:rsid w:val="007C52A3"/>
    <w:rsid w:val="007D1682"/>
    <w:rsid w:val="007D2822"/>
    <w:rsid w:val="007D312A"/>
    <w:rsid w:val="007D3F19"/>
    <w:rsid w:val="007E23B0"/>
    <w:rsid w:val="007E23E5"/>
    <w:rsid w:val="007E646D"/>
    <w:rsid w:val="007F1291"/>
    <w:rsid w:val="007F1991"/>
    <w:rsid w:val="007F2C2F"/>
    <w:rsid w:val="007F55FC"/>
    <w:rsid w:val="007F5665"/>
    <w:rsid w:val="00800112"/>
    <w:rsid w:val="00813348"/>
    <w:rsid w:val="0082160E"/>
    <w:rsid w:val="008253BB"/>
    <w:rsid w:val="0083706E"/>
    <w:rsid w:val="008408F6"/>
    <w:rsid w:val="008409F1"/>
    <w:rsid w:val="008423A5"/>
    <w:rsid w:val="00850625"/>
    <w:rsid w:val="00851BBE"/>
    <w:rsid w:val="00853718"/>
    <w:rsid w:val="00855221"/>
    <w:rsid w:val="008576C3"/>
    <w:rsid w:val="00860645"/>
    <w:rsid w:val="00864104"/>
    <w:rsid w:val="00871F71"/>
    <w:rsid w:val="00872FD8"/>
    <w:rsid w:val="00885AF4"/>
    <w:rsid w:val="008909F7"/>
    <w:rsid w:val="008939CD"/>
    <w:rsid w:val="008B768C"/>
    <w:rsid w:val="008C468F"/>
    <w:rsid w:val="008C4DB1"/>
    <w:rsid w:val="008C4EAF"/>
    <w:rsid w:val="008C5176"/>
    <w:rsid w:val="008C7FD0"/>
    <w:rsid w:val="008E1DE7"/>
    <w:rsid w:val="008E707C"/>
    <w:rsid w:val="00900B08"/>
    <w:rsid w:val="009010AF"/>
    <w:rsid w:val="00902155"/>
    <w:rsid w:val="00902FA3"/>
    <w:rsid w:val="00911C2A"/>
    <w:rsid w:val="00914F6E"/>
    <w:rsid w:val="00920CFE"/>
    <w:rsid w:val="00923564"/>
    <w:rsid w:val="0092392E"/>
    <w:rsid w:val="0092491C"/>
    <w:rsid w:val="009315F9"/>
    <w:rsid w:val="009328A4"/>
    <w:rsid w:val="00933499"/>
    <w:rsid w:val="009334D8"/>
    <w:rsid w:val="00935C98"/>
    <w:rsid w:val="009363BC"/>
    <w:rsid w:val="0093744D"/>
    <w:rsid w:val="009446E1"/>
    <w:rsid w:val="00945D16"/>
    <w:rsid w:val="00945E18"/>
    <w:rsid w:val="00946945"/>
    <w:rsid w:val="00951248"/>
    <w:rsid w:val="0095152F"/>
    <w:rsid w:val="00954C49"/>
    <w:rsid w:val="00955E37"/>
    <w:rsid w:val="0097099F"/>
    <w:rsid w:val="00971997"/>
    <w:rsid w:val="00971FFC"/>
    <w:rsid w:val="00973770"/>
    <w:rsid w:val="0098660A"/>
    <w:rsid w:val="009931C3"/>
    <w:rsid w:val="009B2BE9"/>
    <w:rsid w:val="009B2C43"/>
    <w:rsid w:val="009B34F0"/>
    <w:rsid w:val="009B3C2D"/>
    <w:rsid w:val="009B4EAE"/>
    <w:rsid w:val="009B7573"/>
    <w:rsid w:val="009C22F4"/>
    <w:rsid w:val="009C2A4B"/>
    <w:rsid w:val="009C2E98"/>
    <w:rsid w:val="009C7E71"/>
    <w:rsid w:val="009D3447"/>
    <w:rsid w:val="009D4711"/>
    <w:rsid w:val="009D6B34"/>
    <w:rsid w:val="009F1185"/>
    <w:rsid w:val="009F18CD"/>
    <w:rsid w:val="009F2A13"/>
    <w:rsid w:val="009F7527"/>
    <w:rsid w:val="00A04EB0"/>
    <w:rsid w:val="00A13CC1"/>
    <w:rsid w:val="00A16847"/>
    <w:rsid w:val="00A16B28"/>
    <w:rsid w:val="00A2164E"/>
    <w:rsid w:val="00A237D8"/>
    <w:rsid w:val="00A25A21"/>
    <w:rsid w:val="00A268C4"/>
    <w:rsid w:val="00A307CD"/>
    <w:rsid w:val="00A331C8"/>
    <w:rsid w:val="00A40A00"/>
    <w:rsid w:val="00A4142F"/>
    <w:rsid w:val="00A422EB"/>
    <w:rsid w:val="00A45BB7"/>
    <w:rsid w:val="00A47221"/>
    <w:rsid w:val="00A508CD"/>
    <w:rsid w:val="00A56DF2"/>
    <w:rsid w:val="00A56E6E"/>
    <w:rsid w:val="00A57123"/>
    <w:rsid w:val="00A67AB5"/>
    <w:rsid w:val="00A733B2"/>
    <w:rsid w:val="00A741C2"/>
    <w:rsid w:val="00A91760"/>
    <w:rsid w:val="00A92305"/>
    <w:rsid w:val="00A93B00"/>
    <w:rsid w:val="00A93C21"/>
    <w:rsid w:val="00AB3FCF"/>
    <w:rsid w:val="00AB532D"/>
    <w:rsid w:val="00AB64C9"/>
    <w:rsid w:val="00AC3C6A"/>
    <w:rsid w:val="00AD5620"/>
    <w:rsid w:val="00AD656B"/>
    <w:rsid w:val="00AD6E78"/>
    <w:rsid w:val="00AD7C1B"/>
    <w:rsid w:val="00AE16BA"/>
    <w:rsid w:val="00AE1EBE"/>
    <w:rsid w:val="00B03C9D"/>
    <w:rsid w:val="00B060AE"/>
    <w:rsid w:val="00B10517"/>
    <w:rsid w:val="00B14E76"/>
    <w:rsid w:val="00B161B8"/>
    <w:rsid w:val="00B16CCA"/>
    <w:rsid w:val="00B2048C"/>
    <w:rsid w:val="00B27C87"/>
    <w:rsid w:val="00B3036F"/>
    <w:rsid w:val="00B310B9"/>
    <w:rsid w:val="00B328CA"/>
    <w:rsid w:val="00B35F3F"/>
    <w:rsid w:val="00B36CBB"/>
    <w:rsid w:val="00B40A8C"/>
    <w:rsid w:val="00B425E0"/>
    <w:rsid w:val="00B440AA"/>
    <w:rsid w:val="00B44B70"/>
    <w:rsid w:val="00B46EBB"/>
    <w:rsid w:val="00B53C56"/>
    <w:rsid w:val="00B57DAF"/>
    <w:rsid w:val="00B75880"/>
    <w:rsid w:val="00B77EA6"/>
    <w:rsid w:val="00B8085A"/>
    <w:rsid w:val="00B81598"/>
    <w:rsid w:val="00B841F1"/>
    <w:rsid w:val="00B85BC6"/>
    <w:rsid w:val="00B90E4E"/>
    <w:rsid w:val="00B91AE6"/>
    <w:rsid w:val="00B944D6"/>
    <w:rsid w:val="00B965DC"/>
    <w:rsid w:val="00BB4DF0"/>
    <w:rsid w:val="00BB7ECE"/>
    <w:rsid w:val="00BC289F"/>
    <w:rsid w:val="00BC2D50"/>
    <w:rsid w:val="00BC5361"/>
    <w:rsid w:val="00BC5460"/>
    <w:rsid w:val="00BC6B50"/>
    <w:rsid w:val="00BD0E25"/>
    <w:rsid w:val="00BE063C"/>
    <w:rsid w:val="00BE5FB3"/>
    <w:rsid w:val="00BF0DD5"/>
    <w:rsid w:val="00BF3D48"/>
    <w:rsid w:val="00BF5BD6"/>
    <w:rsid w:val="00C02C77"/>
    <w:rsid w:val="00C03E31"/>
    <w:rsid w:val="00C046E3"/>
    <w:rsid w:val="00C11C3C"/>
    <w:rsid w:val="00C21567"/>
    <w:rsid w:val="00C330A7"/>
    <w:rsid w:val="00C330EF"/>
    <w:rsid w:val="00C33E72"/>
    <w:rsid w:val="00C354B2"/>
    <w:rsid w:val="00C35554"/>
    <w:rsid w:val="00C42709"/>
    <w:rsid w:val="00C43F55"/>
    <w:rsid w:val="00C467BC"/>
    <w:rsid w:val="00C533CC"/>
    <w:rsid w:val="00C5751C"/>
    <w:rsid w:val="00C61BFC"/>
    <w:rsid w:val="00C62B85"/>
    <w:rsid w:val="00C65438"/>
    <w:rsid w:val="00C8293F"/>
    <w:rsid w:val="00C86D3E"/>
    <w:rsid w:val="00C87FD8"/>
    <w:rsid w:val="00C91381"/>
    <w:rsid w:val="00C91518"/>
    <w:rsid w:val="00C91CBB"/>
    <w:rsid w:val="00CA0164"/>
    <w:rsid w:val="00CB48AB"/>
    <w:rsid w:val="00CB4E70"/>
    <w:rsid w:val="00CC09B6"/>
    <w:rsid w:val="00CC666F"/>
    <w:rsid w:val="00CD1E3F"/>
    <w:rsid w:val="00CE44F6"/>
    <w:rsid w:val="00CE49DA"/>
    <w:rsid w:val="00CE7B61"/>
    <w:rsid w:val="00D00095"/>
    <w:rsid w:val="00D06A1C"/>
    <w:rsid w:val="00D114F0"/>
    <w:rsid w:val="00D159C3"/>
    <w:rsid w:val="00D17662"/>
    <w:rsid w:val="00D20620"/>
    <w:rsid w:val="00D254F7"/>
    <w:rsid w:val="00D26091"/>
    <w:rsid w:val="00D2685C"/>
    <w:rsid w:val="00D27A28"/>
    <w:rsid w:val="00D301F0"/>
    <w:rsid w:val="00D34E7C"/>
    <w:rsid w:val="00D35489"/>
    <w:rsid w:val="00D36AFE"/>
    <w:rsid w:val="00D51276"/>
    <w:rsid w:val="00D516BF"/>
    <w:rsid w:val="00D51938"/>
    <w:rsid w:val="00D54897"/>
    <w:rsid w:val="00D7035F"/>
    <w:rsid w:val="00D752C6"/>
    <w:rsid w:val="00D83F26"/>
    <w:rsid w:val="00DA2A11"/>
    <w:rsid w:val="00DA634F"/>
    <w:rsid w:val="00DA65AC"/>
    <w:rsid w:val="00DB1913"/>
    <w:rsid w:val="00DB24FC"/>
    <w:rsid w:val="00DB453D"/>
    <w:rsid w:val="00DC410D"/>
    <w:rsid w:val="00DC5A81"/>
    <w:rsid w:val="00DC68CA"/>
    <w:rsid w:val="00DC6A1B"/>
    <w:rsid w:val="00DC7CBA"/>
    <w:rsid w:val="00DD73B7"/>
    <w:rsid w:val="00DF28BC"/>
    <w:rsid w:val="00DF34B9"/>
    <w:rsid w:val="00E01053"/>
    <w:rsid w:val="00E05771"/>
    <w:rsid w:val="00E07ACF"/>
    <w:rsid w:val="00E251BB"/>
    <w:rsid w:val="00E32CAD"/>
    <w:rsid w:val="00E331A1"/>
    <w:rsid w:val="00E33202"/>
    <w:rsid w:val="00E336A9"/>
    <w:rsid w:val="00E472B1"/>
    <w:rsid w:val="00E50624"/>
    <w:rsid w:val="00E56235"/>
    <w:rsid w:val="00E568DF"/>
    <w:rsid w:val="00E60A80"/>
    <w:rsid w:val="00E60EEA"/>
    <w:rsid w:val="00E63166"/>
    <w:rsid w:val="00E64269"/>
    <w:rsid w:val="00E82267"/>
    <w:rsid w:val="00E853CE"/>
    <w:rsid w:val="00E867B6"/>
    <w:rsid w:val="00EA010F"/>
    <w:rsid w:val="00EA61DC"/>
    <w:rsid w:val="00EC42F5"/>
    <w:rsid w:val="00ED1B63"/>
    <w:rsid w:val="00ED3C1F"/>
    <w:rsid w:val="00ED4085"/>
    <w:rsid w:val="00ED420E"/>
    <w:rsid w:val="00ED6FBE"/>
    <w:rsid w:val="00EE2F57"/>
    <w:rsid w:val="00EF05EA"/>
    <w:rsid w:val="00EF4C34"/>
    <w:rsid w:val="00EF60EF"/>
    <w:rsid w:val="00EF63E8"/>
    <w:rsid w:val="00EF77C6"/>
    <w:rsid w:val="00F05438"/>
    <w:rsid w:val="00F10CF4"/>
    <w:rsid w:val="00F1361C"/>
    <w:rsid w:val="00F156F0"/>
    <w:rsid w:val="00F15A13"/>
    <w:rsid w:val="00F160C7"/>
    <w:rsid w:val="00F228D3"/>
    <w:rsid w:val="00F2408F"/>
    <w:rsid w:val="00F240E9"/>
    <w:rsid w:val="00F36D8F"/>
    <w:rsid w:val="00F417B1"/>
    <w:rsid w:val="00F427D0"/>
    <w:rsid w:val="00F45853"/>
    <w:rsid w:val="00F602DF"/>
    <w:rsid w:val="00F754A1"/>
    <w:rsid w:val="00F81FD9"/>
    <w:rsid w:val="00F841AA"/>
    <w:rsid w:val="00F84A94"/>
    <w:rsid w:val="00F87E96"/>
    <w:rsid w:val="00FA23E8"/>
    <w:rsid w:val="00FA4832"/>
    <w:rsid w:val="00FA63E4"/>
    <w:rsid w:val="00FC05F6"/>
    <w:rsid w:val="00FC29DC"/>
    <w:rsid w:val="00FD3CC1"/>
    <w:rsid w:val="00FE2E45"/>
    <w:rsid w:val="00FF1E02"/>
    <w:rsid w:val="00FF30B4"/>
    <w:rsid w:val="0A2032A3"/>
    <w:rsid w:val="10C055FF"/>
    <w:rsid w:val="118107EC"/>
    <w:rsid w:val="16BB723D"/>
    <w:rsid w:val="1D155CEE"/>
    <w:rsid w:val="240371BF"/>
    <w:rsid w:val="29FD04D3"/>
    <w:rsid w:val="319F7F4E"/>
    <w:rsid w:val="3DDFCD44"/>
    <w:rsid w:val="4ECE2238"/>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1"/>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qFormat/>
    <w:uiPriority w:val="99"/>
    <w:rPr>
      <w:rFonts w:cs="Times New Roman"/>
      <w:b/>
    </w:rPr>
  </w:style>
  <w:style w:type="character" w:styleId="16">
    <w:name w:val="Hyperlink"/>
    <w:unhideWhenUsed/>
    <w:qFormat/>
    <w:uiPriority w:val="99"/>
    <w:rPr>
      <w:rFonts w:cs="Times New Roman"/>
      <w:color w:val="0000FF"/>
      <w:u w:val="single"/>
    </w:rPr>
  </w:style>
  <w:style w:type="character" w:customStyle="1" w:styleId="17">
    <w:name w:val="标题 1 Char"/>
    <w:link w:val="2"/>
    <w:qFormat/>
    <w:locked/>
    <w:uiPriority w:val="99"/>
    <w:rPr>
      <w:rFonts w:ascii="Times New Roman" w:hAnsi="Times New Roman" w:cs="Times New Roman"/>
      <w:b/>
      <w:bCs/>
      <w:kern w:val="44"/>
      <w:sz w:val="44"/>
      <w:szCs w:val="44"/>
    </w:rPr>
  </w:style>
  <w:style w:type="character" w:customStyle="1" w:styleId="18">
    <w:name w:val="标题 2 Char"/>
    <w:link w:val="3"/>
    <w:qFormat/>
    <w:locked/>
    <w:uiPriority w:val="9"/>
    <w:rPr>
      <w:rFonts w:ascii="Cambria" w:hAnsi="Cambria" w:eastAsia="宋体" w:cs="Times New Roman"/>
      <w:b/>
      <w:bCs/>
      <w:kern w:val="2"/>
      <w:sz w:val="32"/>
      <w:szCs w:val="32"/>
    </w:rPr>
  </w:style>
  <w:style w:type="character" w:customStyle="1" w:styleId="19">
    <w:name w:val="标题 3 Char"/>
    <w:link w:val="4"/>
    <w:qFormat/>
    <w:locked/>
    <w:uiPriority w:val="9"/>
    <w:rPr>
      <w:rFonts w:ascii="Times New Roman" w:hAnsi="Times New Roman" w:cs="Times New Roman"/>
      <w:b/>
      <w:bCs/>
      <w:kern w:val="2"/>
      <w:sz w:val="32"/>
      <w:szCs w:val="32"/>
    </w:rPr>
  </w:style>
  <w:style w:type="character" w:customStyle="1" w:styleId="20">
    <w:name w:val="Body Text Char"/>
    <w:link w:val="5"/>
    <w:semiHidden/>
    <w:qFormat/>
    <w:uiPriority w:val="99"/>
    <w:rPr>
      <w:rFonts w:ascii="Times New Roman" w:hAnsi="Times New Roman" w:cs="Times New Roman"/>
      <w:sz w:val="24"/>
      <w:szCs w:val="24"/>
    </w:rPr>
  </w:style>
  <w:style w:type="character" w:customStyle="1" w:styleId="21">
    <w:name w:val="批注框文本 Char"/>
    <w:link w:val="8"/>
    <w:semiHidden/>
    <w:qFormat/>
    <w:locked/>
    <w:uiPriority w:val="99"/>
    <w:rPr>
      <w:rFonts w:ascii="Times New Roman" w:hAnsi="Times New Roman" w:cs="Times New Roman"/>
      <w:kern w:val="2"/>
      <w:sz w:val="18"/>
      <w:szCs w:val="18"/>
    </w:rPr>
  </w:style>
  <w:style w:type="character" w:customStyle="1" w:styleId="22">
    <w:name w:val="Footer Char"/>
    <w:link w:val="9"/>
    <w:semiHidden/>
    <w:qFormat/>
    <w:uiPriority w:val="99"/>
    <w:rPr>
      <w:rFonts w:ascii="Times New Roman" w:hAnsi="Times New Roman" w:cs="Times New Roman"/>
      <w:sz w:val="18"/>
      <w:szCs w:val="18"/>
    </w:rPr>
  </w:style>
  <w:style w:type="character" w:customStyle="1" w:styleId="23">
    <w:name w:val="Header Char"/>
    <w:link w:val="10"/>
    <w:semiHidden/>
    <w:qFormat/>
    <w:uiPriority w:val="99"/>
    <w:rPr>
      <w:rFonts w:ascii="Times New Roman" w:hAnsi="Times New Roman" w:cs="Times New Roman"/>
      <w:sz w:val="18"/>
      <w:szCs w:val="18"/>
    </w:rPr>
  </w:style>
  <w:style w:type="character" w:customStyle="1" w:styleId="24">
    <w:name w:val="页眉 Char"/>
    <w:link w:val="10"/>
    <w:semiHidden/>
    <w:qFormat/>
    <w:locked/>
    <w:uiPriority w:val="99"/>
    <w:rPr>
      <w:sz w:val="18"/>
    </w:rPr>
  </w:style>
  <w:style w:type="character" w:customStyle="1" w:styleId="25">
    <w:name w:val="页脚 Char"/>
    <w:link w:val="9"/>
    <w:qFormat/>
    <w:locked/>
    <w:uiPriority w:val="99"/>
    <w:rPr>
      <w:sz w:val="18"/>
    </w:rPr>
  </w:style>
  <w:style w:type="character" w:customStyle="1" w:styleId="26">
    <w:name w:val="正文文本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1">
    <w:name w:val="纯文本 Char"/>
    <w:basedOn w:val="14"/>
    <w:link w:val="7"/>
    <w:qFormat/>
    <w:uiPriority w:val="0"/>
    <w:rPr>
      <w:rFonts w:ascii="宋体" w:hAnsi="Courier New"/>
      <w:kern w:val="2"/>
      <w:sz w:val="21"/>
      <w:szCs w:val="24"/>
    </w:rPr>
  </w:style>
  <w:style w:type="character" w:customStyle="1" w:styleId="32">
    <w:name w:val="纯文本 Char1"/>
    <w:basedOn w:val="14"/>
    <w:link w:val="7"/>
    <w:semiHidden/>
    <w:qFormat/>
    <w:uiPriority w:val="99"/>
    <w:rPr>
      <w:rFonts w:ascii="宋体" w:hAnsi="Courier New" w:cs="Courier New"/>
      <w:kern w:val="2"/>
      <w:sz w:val="21"/>
      <w:szCs w:val="21"/>
    </w:rPr>
  </w:style>
  <w:style w:type="character" w:customStyle="1" w:styleId="33">
    <w:name w:val="正文文本 Char"/>
    <w:qFormat/>
    <w:locked/>
    <w:uiPriority w:val="99"/>
    <w:rPr>
      <w:rFonts w:ascii="仿宋_GB2312" w:hAnsi="Times New Roman" w:eastAsia="仿宋_GB2312"/>
      <w:sz w:val="24"/>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446;&#20808;&#20848;\2021&#24180;\&#20250;&#35745;\2020&#24180;&#24230;&#24066;&#26412;&#32423;&#37096;&#38376;&#20915;&#31639;&#21644;&#8220;&#19977;&#20844;&#8221;&#32463;&#36153;&#20915;&#31639;&#20449;&#24687;&#20844;&#24320;\&#22270;&#349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Administrator\Desktop\&#22270;&#349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22270;&#349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22270;&#349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22270;&#349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446;&#20808;&#20848;\2021&#24180;\&#20250;&#35745;\2020&#24180;&#24230;&#24066;&#26412;&#32423;&#37096;&#38376;&#20915;&#31639;&#21644;&#8220;&#19977;&#20844;&#8221;&#32463;&#36153;&#20915;&#31639;&#20449;&#24687;&#20844;&#24320;\&#22270;&#349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Administrator\Desktop\&#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a:latin typeface="黑体" panose="02010609060101010101" charset="-122"/>
                <a:ea typeface="黑体" panose="02010609060101010101" charset="-122"/>
                <a:cs typeface="黑体" panose="02010609060101010101" charset="-122"/>
                <a:sym typeface="黑体" panose="02010609060101010101" charset="-122"/>
              </a:rPr>
              <a:t>2020</a:t>
            </a:r>
            <a:r>
              <a:rPr altLang="en-US">
                <a:latin typeface="黑体" panose="02010609060101010101" charset="-122"/>
                <a:ea typeface="黑体" panose="02010609060101010101" charset="-122"/>
                <a:cs typeface="黑体" panose="02010609060101010101" charset="-122"/>
                <a:sym typeface="黑体" panose="02010609060101010101" charset="-122"/>
              </a:rPr>
              <a:t>年收支决算总计变动情况</a:t>
            </a:r>
            <a:endParaRPr lang="en-US" altLang="zh-CN">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170833333333333"/>
          <c:y val="0.0277777777777781"/>
        </c:manualLayout>
      </c:layout>
      <c:overlay val="false"/>
      <c:spPr>
        <a:noFill/>
        <a:ln>
          <a:noFill/>
        </a:ln>
        <a:effectLst/>
      </c:spPr>
    </c:title>
    <c:autoTitleDeleted val="false"/>
    <c:plotArea>
      <c:layout>
        <c:manualLayout>
          <c:layoutTarget val="inner"/>
          <c:xMode val="edge"/>
          <c:yMode val="edge"/>
          <c:x val="0.0604625056129324"/>
          <c:y val="0.161483253588517"/>
          <c:w val="0.91484059272564"/>
          <c:h val="0.690470494417863"/>
        </c:manualLayout>
      </c:layout>
      <c:barChart>
        <c:barDir val="col"/>
        <c:grouping val="clustered"/>
        <c:varyColors val="false"/>
        <c:ser>
          <c:idx val="0"/>
          <c:order val="0"/>
          <c:tx>
            <c:strRef>
              <c:f>图1!$B$3</c:f>
              <c:strCache>
                <c:ptCount val="1"/>
                <c:pt idx="0">
                  <c:v>2019年</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图1!$A$4:$A$5</c:f>
              <c:strCache>
                <c:ptCount val="2"/>
                <c:pt idx="0">
                  <c:v>收入</c:v>
                </c:pt>
                <c:pt idx="1">
                  <c:v>支出</c:v>
                </c:pt>
              </c:strCache>
            </c:strRef>
          </c:cat>
          <c:val>
            <c:numRef>
              <c:f>图1!$B$4:$B$5</c:f>
              <c:numCache>
                <c:formatCode>General</c:formatCode>
                <c:ptCount val="2"/>
                <c:pt idx="0">
                  <c:v>542.549999999999</c:v>
                </c:pt>
                <c:pt idx="1">
                  <c:v>502.54</c:v>
                </c:pt>
              </c:numCache>
            </c:numRef>
          </c:val>
        </c:ser>
        <c:ser>
          <c:idx val="1"/>
          <c:order val="1"/>
          <c:tx>
            <c:strRef>
              <c:f>图1!$C$3</c:f>
              <c:strCache>
                <c:ptCount val="1"/>
                <c:pt idx="0">
                  <c:v>2020年</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图1!$A$4:$A$5</c:f>
              <c:strCache>
                <c:ptCount val="2"/>
                <c:pt idx="0">
                  <c:v>收入</c:v>
                </c:pt>
                <c:pt idx="1">
                  <c:v>支出</c:v>
                </c:pt>
              </c:strCache>
            </c:strRef>
          </c:cat>
          <c:val>
            <c:numRef>
              <c:f>图1!$C$4:$C$5</c:f>
              <c:numCache>
                <c:formatCode>General</c:formatCode>
                <c:ptCount val="2"/>
                <c:pt idx="0">
                  <c:v>485.87</c:v>
                </c:pt>
                <c:pt idx="1">
                  <c:v>474.59</c:v>
                </c:pt>
              </c:numCache>
            </c:numRef>
          </c:val>
        </c:ser>
        <c:ser>
          <c:idx val="2"/>
          <c:order val="2"/>
          <c:tx>
            <c:strRef>
              <c:f>图1!$D$3</c:f>
              <c:strCache>
                <c:ptCount val="1"/>
                <c:pt idx="0">
                  <c:v>下降额度</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图1!$A$4:$A$5</c:f>
              <c:strCache>
                <c:ptCount val="2"/>
                <c:pt idx="0">
                  <c:v>收入</c:v>
                </c:pt>
                <c:pt idx="1">
                  <c:v>支出</c:v>
                </c:pt>
              </c:strCache>
            </c:strRef>
          </c:cat>
          <c:val>
            <c:numRef>
              <c:f>图1!$D$4:$D$5</c:f>
              <c:numCache>
                <c:formatCode>General</c:formatCode>
                <c:ptCount val="2"/>
                <c:pt idx="0">
                  <c:v>56.68</c:v>
                </c:pt>
                <c:pt idx="1">
                  <c:v>27.95</c:v>
                </c:pt>
              </c:numCache>
            </c:numRef>
          </c:val>
        </c:ser>
        <c:dLbls>
          <c:showLegendKey val="false"/>
          <c:showVal val="true"/>
          <c:showCatName val="false"/>
          <c:showSerName val="false"/>
          <c:showPercent val="false"/>
          <c:showBubbleSize val="false"/>
        </c:dLbls>
        <c:gapWidth val="100"/>
        <c:overlap val="-24"/>
        <c:axId val="119592448"/>
        <c:axId val="119593984"/>
      </c:barChart>
      <c:catAx>
        <c:axId val="119592448"/>
        <c:scaling>
          <c:orientation val="minMax"/>
        </c:scaling>
        <c:delete val="false"/>
        <c:axPos val="b"/>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9593984"/>
        <c:crosses val="autoZero"/>
        <c:auto val="true"/>
        <c:lblAlgn val="ctr"/>
        <c:lblOffset val="100"/>
        <c:noMultiLvlLbl val="false"/>
      </c:catAx>
      <c:valAx>
        <c:axId val="119593984"/>
        <c:scaling>
          <c:orientation val="minMax"/>
        </c:scaling>
        <c:delete val="false"/>
        <c:axPos val="l"/>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959244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legend>
    <c:plotVisOnly val="true"/>
    <c:dispBlanksAs val="gap"/>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a:latin typeface="黑体" panose="02010609060101010101" charset="-122"/>
                <a:ea typeface="黑体" panose="02010609060101010101" charset="-122"/>
                <a:cs typeface="黑体" panose="02010609060101010101" charset="-122"/>
                <a:sym typeface="黑体" panose="02010609060101010101" charset="-122"/>
              </a:rPr>
              <a:t>2020</a:t>
            </a:r>
            <a:r>
              <a:rPr altLang="en-US">
                <a:latin typeface="黑体" panose="02010609060101010101" charset="-122"/>
                <a:ea typeface="黑体" panose="02010609060101010101" charset="-122"/>
                <a:cs typeface="黑体" panose="02010609060101010101" charset="-122"/>
                <a:sym typeface="黑体" panose="02010609060101010101" charset="-122"/>
              </a:rPr>
              <a:t>年</a:t>
            </a:r>
            <a:r>
              <a:rPr>
                <a:latin typeface="黑体" panose="02010609060101010101" charset="-122"/>
                <a:ea typeface="黑体" panose="02010609060101010101" charset="-122"/>
                <a:cs typeface="黑体" panose="02010609060101010101" charset="-122"/>
                <a:sym typeface="黑体" panose="02010609060101010101" charset="-122"/>
              </a:rPr>
              <a:t>收入决算结构图</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192286622110222"/>
          <c:y val="0.0187999373335422"/>
        </c:manualLayout>
      </c:layout>
      <c:overlay val="false"/>
      <c:spPr>
        <a:noFill/>
        <a:ln>
          <a:noFill/>
        </a:ln>
        <a:effectLst/>
      </c:spPr>
    </c:title>
    <c:autoTitleDeleted val="false"/>
    <c:plotArea>
      <c:layout/>
      <c:pieChart>
        <c:varyColors val="true"/>
        <c:ser>
          <c:idx val="0"/>
          <c:order val="0"/>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dLbl>
              <c:idx val="0"/>
              <c:layout>
                <c:manualLayout>
                  <c:x val="0.0128735096545422"/>
                  <c:y val="-0.24119014768388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01802240623478"/>
                      <c:h val="0.121729594234686"/>
                    </c:manualLayout>
                  </c15:layout>
                </c:ext>
              </c:extLst>
            </c:dLbl>
            <c:dLbl>
              <c:idx val="1"/>
              <c:layout>
                <c:manualLayout>
                  <c:x val="-0.0696400408793872"/>
                  <c:y val="0.0033470529210896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882742630251027"/>
                  <c:y val="0.0033481512715256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04115927910375"/>
                      <c:h val="0.117186276045747"/>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100" b="1" i="0" u="none" strike="noStrike" kern="1200" baseline="0">
                    <a:solidFill>
                      <a:schemeClr val="lt1">
                        <a:lumMod val="8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图2!$A$3:$A$5</c:f>
              <c:strCache>
                <c:ptCount val="3"/>
                <c:pt idx="0">
                  <c:v>一般公共预算财政拨款收入</c:v>
                </c:pt>
                <c:pt idx="1">
                  <c:v>政府性基金预算财政拨款收入</c:v>
                </c:pt>
                <c:pt idx="2">
                  <c:v>其他收入</c:v>
                </c:pt>
              </c:strCache>
            </c:strRef>
          </c:cat>
          <c:val>
            <c:numRef>
              <c:f>图2!$B$3:$B$5</c:f>
              <c:numCache>
                <c:formatCode>General</c:formatCode>
                <c:ptCount val="3"/>
                <c:pt idx="0">
                  <c:v>440.83</c:v>
                </c:pt>
                <c:pt idx="1">
                  <c:v>5</c:v>
                </c:pt>
                <c:pt idx="2">
                  <c:v>0.04</c:v>
                </c:pt>
              </c:numCache>
            </c:numRef>
          </c:val>
        </c:ser>
        <c:dLbls>
          <c:showLegendKey val="false"/>
          <c:showVal val="true"/>
          <c:showCatName val="false"/>
          <c:showSerName val="false"/>
          <c:showPercent val="false"/>
          <c:showBubbleSize val="false"/>
          <c:showLeaderLines val="true"/>
        </c:dLbls>
        <c:firstSliceAng val="0"/>
        <c:extLst>
          <c:ext xmlns:c15="http://schemas.microsoft.com/office/drawing/2012/chart" uri="{02D57815-91ED-43cb-92C2-25804820EDAC}">
            <c15:filteredPieSeries>
              <c15:ser>
                <c:idx val="1"/>
                <c:order val="1"/>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extLst>
                      <c:ext uri="{02D57815-91ED-43cb-92C2-25804820EDAC}">
                        <c15:fullRef>
                          <c15:sqref/>
                        </c15:fullRef>
                        <c15:formulaRef>
                          <c15:sqref>图2!$A$3:$A$5</c15:sqref>
                        </c15:formulaRef>
                      </c:ext>
                    </c:extLst>
                    <c:strCache>
                      <c:ptCount val="3"/>
                      <c:pt idx="0">
                        <c:v>一般公共预算财政拨款收入</c:v>
                      </c:pt>
                      <c:pt idx="1">
                        <c:v>政府性基金预算财政拨款收入</c:v>
                      </c:pt>
                      <c:pt idx="2">
                        <c:v>其他收入</c:v>
                      </c:pt>
                    </c:strCache>
                  </c:strRef>
                </c:cat>
                <c:val>
                  <c:numRef>
                    <c:extLst>
                      <c:ext uri="{02D57815-91ED-43cb-92C2-25804820EDAC}">
                        <c15:formulaRef>
                          <c15:sqref>图2!$C$3:$C$5</c15:sqref>
                        </c15:formulaRef>
                      </c:ext>
                    </c:extLst>
                    <c:numCache>
                      <c:formatCode>0.00%</c:formatCode>
                      <c:ptCount val="3"/>
                      <c:pt idx="0">
                        <c:v>0.9887</c:v>
                      </c:pt>
                      <c:pt idx="1">
                        <c:v>0.0112</c:v>
                      </c:pt>
                      <c:pt idx="2">
                        <c:v>0.0001</c:v>
                      </c:pt>
                    </c:numCache>
                  </c:numRef>
                </c:val>
              </c15:ser>
            </c15:filteredPieSeries>
          </c:ext>
        </c:extLst>
      </c:pieChart>
      <c:spPr>
        <a:noFill/>
        <a:ln>
          <a:noFill/>
        </a:ln>
        <a:effectLst/>
      </c:spPr>
    </c:plotArea>
    <c:legend>
      <c:legendPos val="b"/>
      <c:layout>
        <c:manualLayout>
          <c:xMode val="edge"/>
          <c:yMode val="edge"/>
          <c:x val="0.104853730689164"/>
          <c:y val="0.90678364405452"/>
          <c:w val="0.805193382272379"/>
          <c:h val="0.075669747767507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legend>
    <c:plotVisOnly val="true"/>
    <c:dispBlanksAs val="zero"/>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a:latin typeface="黑体" panose="02010609060101010101" charset="-122"/>
                <a:ea typeface="黑体" panose="02010609060101010101" charset="-122"/>
                <a:cs typeface="黑体" panose="02010609060101010101" charset="-122"/>
                <a:sym typeface="黑体" panose="02010609060101010101" charset="-122"/>
              </a:rPr>
              <a:t>2020</a:t>
            </a:r>
            <a:r>
              <a:rPr altLang="en-US">
                <a:latin typeface="黑体" panose="02010609060101010101" charset="-122"/>
                <a:ea typeface="黑体" panose="02010609060101010101" charset="-122"/>
                <a:cs typeface="黑体" panose="02010609060101010101" charset="-122"/>
                <a:sym typeface="黑体" panose="02010609060101010101" charset="-122"/>
              </a:rPr>
              <a:t>年</a:t>
            </a:r>
            <a:r>
              <a:rPr>
                <a:latin typeface="黑体" panose="02010609060101010101" charset="-122"/>
                <a:ea typeface="黑体" panose="02010609060101010101" charset="-122"/>
                <a:cs typeface="黑体" panose="02010609060101010101" charset="-122"/>
                <a:sym typeface="黑体" panose="02010609060101010101" charset="-122"/>
              </a:rPr>
              <a:t>支出决算结构图</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0147997464867092"/>
          <c:y val="0.00108956507864969"/>
        </c:manualLayout>
      </c:layout>
      <c:overlay val="false"/>
      <c:spPr>
        <a:noFill/>
        <a:ln>
          <a:noFill/>
        </a:ln>
        <a:effectLst/>
      </c:spPr>
    </c:title>
    <c:autoTitleDeleted val="false"/>
    <c:plotArea>
      <c:layout>
        <c:manualLayout>
          <c:layoutTarget val="inner"/>
          <c:xMode val="edge"/>
          <c:yMode val="edge"/>
          <c:x val="0.132467184570053"/>
          <c:y val="0.130745492934872"/>
          <c:w val="0.627779266005901"/>
          <c:h val="0.761247360727625"/>
        </c:manualLayout>
      </c:layout>
      <c:pieChart>
        <c:varyColors val="true"/>
        <c:ser>
          <c:idx val="0"/>
          <c:order val="0"/>
          <c:tx>
            <c:strRef>
              <c:f>图3!$B$2</c:f>
              <c:strCache>
                <c:ptCount val="1"/>
                <c:pt idx="0">
                  <c:v>金额（万元）</c:v>
                </c:pt>
              </c:strCache>
            </c:strRef>
          </c:tx>
          <c:explosion val="4"/>
          <c:dPt>
            <c:idx val="0"/>
            <c:bubble3D val="false"/>
            <c:explosion val="0"/>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explosion val="0"/>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dLbl>
              <c:idx val="0"/>
              <c:layout>
                <c:manualLayout>
                  <c:x val="-0.161315618758135"/>
                  <c:y val="-0.14823706358560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0976426466648808"/>
                      <c:h val="0.0993990579827838"/>
                    </c:manualLayout>
                  </c15:layout>
                </c:ext>
              </c:extLst>
            </c:dLbl>
            <c:dLbl>
              <c:idx val="1"/>
              <c:layout>
                <c:manualLayout>
                  <c:x val="0.10661858452459"/>
                  <c:y val="0.14577961572099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0973747656040718"/>
                      <c:h val="0.104433977586487"/>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lt1">
                        <a:lumMod val="8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图3!$A$3:$A$4</c:f>
              <c:strCache>
                <c:ptCount val="2"/>
                <c:pt idx="0">
                  <c:v>基本支出</c:v>
                </c:pt>
                <c:pt idx="1">
                  <c:v>项目支出</c:v>
                </c:pt>
              </c:strCache>
            </c:strRef>
          </c:cat>
          <c:val>
            <c:numRef>
              <c:f>图3!$B$3:$B$4</c:f>
              <c:numCache>
                <c:formatCode>General</c:formatCode>
                <c:ptCount val="2"/>
                <c:pt idx="0">
                  <c:v>370.16</c:v>
                </c:pt>
                <c:pt idx="1">
                  <c:v>104.43</c:v>
                </c:pt>
              </c:numCache>
            </c:numRef>
          </c:val>
        </c:ser>
        <c:dLbls>
          <c:showLegendKey val="false"/>
          <c:showVal val="false"/>
          <c:showCatName val="false"/>
          <c:showSerName val="false"/>
          <c:showPercent val="true"/>
          <c:showBubbleSize val="false"/>
          <c:showLeaderLines val="true"/>
        </c:dLbls>
        <c:firstSliceAng val="0"/>
        <c:extLst>
          <c:ext xmlns:c15="http://schemas.microsoft.com/office/drawing/2012/chart" uri="{02D57815-91ED-43cb-92C2-25804820EDAC}">
            <c15:filteredPieSeries>
              <c15:ser>
                <c:idx val="1"/>
                <c:order val="1"/>
                <c:tx>
                  <c:strRef>
                    <c:extLst>
                      <c:ext uri="{02D57815-91ED-43cb-92C2-25804820EDAC}">
                        <c15:formulaRef>
                          <c15:sqref>图3!$C$2</c15:sqref>
                        </c15:formulaRef>
                      </c:ext>
                    </c:extLst>
                    <c:strCache>
                      <c:ptCount val="1"/>
                      <c:pt idx="0">
                        <c:v>占比</c:v>
                      </c:pt>
                    </c:strCache>
                  </c:strRef>
                </c:tx>
                <c:explosion val="4"/>
                <c:dPt>
                  <c:idx val="0"/>
                  <c:bubble3D val="false"/>
                  <c:explosion val="0"/>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explosion val="0"/>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extLst>
                      <c:ext uri="{02D57815-91ED-43cb-92C2-25804820EDAC}">
                        <c15:fullRef>
                          <c15:sqref/>
                        </c15:fullRef>
                        <c15:formulaRef>
                          <c15:sqref>图3!$A$3:$A$4</c15:sqref>
                        </c15:formulaRef>
                      </c:ext>
                    </c:extLst>
                    <c:strCache>
                      <c:ptCount val="2"/>
                      <c:pt idx="0">
                        <c:v>基本支出</c:v>
                      </c:pt>
                      <c:pt idx="1">
                        <c:v>项目支出</c:v>
                      </c:pt>
                    </c:strCache>
                  </c:strRef>
                </c:cat>
                <c:val>
                  <c:numRef>
                    <c:extLst>
                      <c:ext uri="{02D57815-91ED-43cb-92C2-25804820EDAC}">
                        <c15:formulaRef>
                          <c15:sqref>图3!$C$3:$C$4</c15:sqref>
                        </c15:formulaRef>
                      </c:ext>
                    </c:extLst>
                    <c:numCache>
                      <c:formatCode>0.00%</c:formatCode>
                      <c:ptCount val="2"/>
                      <c:pt idx="0">
                        <c:v>0.78</c:v>
                      </c:pt>
                      <c:pt idx="1">
                        <c:v>0.22</c:v>
                      </c:pt>
                    </c:numCache>
                  </c:numRef>
                </c:val>
              </c15:ser>
            </c15:filteredPieSeries>
          </c:ext>
        </c:extLst>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legend>
    <c:plotVisOnly val="true"/>
    <c:dispBlanksAs val="zero"/>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b="1">
                <a:latin typeface="黑体" panose="02010609060101010101" charset="-122"/>
                <a:ea typeface="黑体" panose="02010609060101010101" charset="-122"/>
                <a:cs typeface="黑体" panose="02010609060101010101" charset="-122"/>
                <a:sym typeface="黑体" panose="02010609060101010101" charset="-122"/>
              </a:rPr>
              <a:t>2020</a:t>
            </a:r>
            <a:r>
              <a:rPr altLang="en-US" b="1">
                <a:latin typeface="黑体" panose="02010609060101010101" charset="-122"/>
                <a:ea typeface="黑体" panose="02010609060101010101" charset="-122"/>
                <a:cs typeface="黑体" panose="02010609060101010101" charset="-122"/>
                <a:sym typeface="黑体" panose="02010609060101010101" charset="-122"/>
              </a:rPr>
              <a:t>年财政拨款收、支决算总计变动情况</a:t>
            </a:r>
            <a:endParaRPr lang="en-US" altLang="zh-CN" b="1">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0737946199752349"/>
          <c:y val="0.00181347781206151"/>
        </c:manualLayout>
      </c:layout>
      <c:overlay val="false"/>
      <c:spPr>
        <a:noFill/>
        <a:ln>
          <a:noFill/>
        </a:ln>
        <a:effectLst/>
      </c:spPr>
    </c:title>
    <c:autoTitleDeleted val="false"/>
    <c:plotArea>
      <c:layout/>
      <c:barChart>
        <c:barDir val="col"/>
        <c:grouping val="clustered"/>
        <c:varyColors val="false"/>
        <c:ser>
          <c:idx val="0"/>
          <c:order val="0"/>
          <c:tx>
            <c:strRef>
              <c:f>图4!$B$3</c:f>
              <c:strCache>
                <c:ptCount val="1"/>
                <c:pt idx="0">
                  <c:v>2019年</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图4!$A$4:$A$5</c:f>
              <c:strCache>
                <c:ptCount val="2"/>
                <c:pt idx="0">
                  <c:v>收入</c:v>
                </c:pt>
                <c:pt idx="1">
                  <c:v>支出</c:v>
                </c:pt>
              </c:strCache>
            </c:strRef>
          </c:cat>
          <c:val>
            <c:numRef>
              <c:f>图4!$B$4:$B$5</c:f>
              <c:numCache>
                <c:formatCode>General</c:formatCode>
                <c:ptCount val="2"/>
                <c:pt idx="0">
                  <c:v>502.54</c:v>
                </c:pt>
                <c:pt idx="1">
                  <c:v>502.54</c:v>
                </c:pt>
              </c:numCache>
            </c:numRef>
          </c:val>
        </c:ser>
        <c:ser>
          <c:idx val="1"/>
          <c:order val="1"/>
          <c:tx>
            <c:strRef>
              <c:f>图4!$C$3</c:f>
              <c:strCache>
                <c:ptCount val="1"/>
                <c:pt idx="0">
                  <c:v>2020年</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r>
                      <a:rPr altLang="en-US"/>
                      <a:t>445.8</a:t>
                    </a:r>
                    <a:r>
                      <a:rPr lang="en-US" altLang="en-US"/>
                      <a:t>7</a:t>
                    </a:r>
                    <a:endParaRPr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图4!$A$4:$A$5</c:f>
              <c:strCache>
                <c:ptCount val="2"/>
                <c:pt idx="0">
                  <c:v>收入</c:v>
                </c:pt>
                <c:pt idx="1">
                  <c:v>支出</c:v>
                </c:pt>
              </c:strCache>
            </c:strRef>
          </c:cat>
          <c:val>
            <c:numRef>
              <c:f>图4!$C$4:$C$5</c:f>
              <c:numCache>
                <c:formatCode>General</c:formatCode>
                <c:ptCount val="2"/>
                <c:pt idx="0">
                  <c:v>445.86</c:v>
                </c:pt>
                <c:pt idx="1">
                  <c:v>474.59</c:v>
                </c:pt>
              </c:numCache>
            </c:numRef>
          </c:val>
        </c:ser>
        <c:ser>
          <c:idx val="2"/>
          <c:order val="2"/>
          <c:tx>
            <c:strRef>
              <c:f>图4!$D$3</c:f>
              <c:strCache>
                <c:ptCount val="1"/>
                <c:pt idx="0">
                  <c:v>下降额度</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图4!$A$4:$A$5</c:f>
              <c:strCache>
                <c:ptCount val="2"/>
                <c:pt idx="0">
                  <c:v>收入</c:v>
                </c:pt>
                <c:pt idx="1">
                  <c:v>支出</c:v>
                </c:pt>
              </c:strCache>
            </c:strRef>
          </c:cat>
          <c:val>
            <c:numRef>
              <c:f>图4!$D$4:$D$5</c:f>
              <c:numCache>
                <c:formatCode>General</c:formatCode>
                <c:ptCount val="2"/>
                <c:pt idx="0">
                  <c:v>56.68</c:v>
                </c:pt>
                <c:pt idx="1">
                  <c:v>27.95</c:v>
                </c:pt>
              </c:numCache>
            </c:numRef>
          </c:val>
        </c:ser>
        <c:dLbls>
          <c:showLegendKey val="false"/>
          <c:showVal val="true"/>
          <c:showCatName val="false"/>
          <c:showSerName val="false"/>
          <c:showPercent val="false"/>
          <c:showBubbleSize val="false"/>
        </c:dLbls>
        <c:gapWidth val="100"/>
        <c:overlap val="-24"/>
        <c:axId val="118864896"/>
        <c:axId val="119608064"/>
      </c:barChart>
      <c:catAx>
        <c:axId val="118864896"/>
        <c:scaling>
          <c:orientation val="minMax"/>
        </c:scaling>
        <c:delete val="false"/>
        <c:axPos val="b"/>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9608064"/>
        <c:crosses val="autoZero"/>
        <c:auto val="true"/>
        <c:lblAlgn val="ctr"/>
        <c:lblOffset val="100"/>
        <c:noMultiLvlLbl val="false"/>
      </c:catAx>
      <c:valAx>
        <c:axId val="119608064"/>
        <c:scaling>
          <c:orientation val="minMax"/>
        </c:scaling>
        <c:delete val="false"/>
        <c:axPos val="l"/>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8864896"/>
        <c:crosses val="autoZero"/>
        <c:crossBetween val="between"/>
      </c:valAx>
      <c:spPr>
        <a:noFill/>
        <a:ln>
          <a:noFill/>
        </a:ln>
        <a:effectLst/>
      </c:spPr>
    </c:plotArea>
    <c:legend>
      <c:legendPos val="b"/>
      <c:layout>
        <c:manualLayout>
          <c:xMode val="edge"/>
          <c:yMode val="edge"/>
          <c:x val="0.395430195692579"/>
          <c:y val="0.9220434566263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legend>
    <c:plotVisOnly val="true"/>
    <c:dispBlanksAs val="gap"/>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sz="1200">
                <a:latin typeface="黑体" panose="02010609060101010101" charset="-122"/>
                <a:ea typeface="黑体" panose="02010609060101010101" charset="-122"/>
                <a:cs typeface="黑体" panose="02010609060101010101" charset="-122"/>
                <a:sym typeface="黑体" panose="02010609060101010101" charset="-122"/>
              </a:rPr>
              <a:t>2020年一般公共预算财政拨款支出变动情况</a:t>
            </a:r>
            <a:endParaRPr sz="12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184773548207836"/>
          <c:y val="0.0155020823692735"/>
        </c:manualLayout>
      </c:layout>
      <c:overlay val="false"/>
      <c:spPr>
        <a:noFill/>
        <a:ln>
          <a:noFill/>
        </a:ln>
        <a:effectLst/>
      </c:spPr>
    </c:title>
    <c:autoTitleDeleted val="false"/>
    <c:plotArea>
      <c:layout/>
      <c:barChart>
        <c:barDir val="col"/>
        <c:grouping val="clustered"/>
        <c:varyColors val="false"/>
        <c:ser>
          <c:idx val="0"/>
          <c:order val="0"/>
          <c:tx>
            <c:strRef>
              <c:f>图5!$B$3</c:f>
              <c:strCache>
                <c:ptCount val="1"/>
                <c:pt idx="0">
                  <c:v>2019年</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val>
            <c:numRef>
              <c:f>图5!$B$4</c:f>
              <c:numCache>
                <c:formatCode>General</c:formatCode>
                <c:ptCount val="1"/>
                <c:pt idx="0">
                  <c:v>501.35</c:v>
                </c:pt>
              </c:numCache>
            </c:numRef>
          </c:val>
        </c:ser>
        <c:ser>
          <c:idx val="1"/>
          <c:order val="1"/>
          <c:tx>
            <c:strRef>
              <c:f>图5!$C$3</c:f>
              <c:strCache>
                <c:ptCount val="1"/>
                <c:pt idx="0">
                  <c:v>2020年</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r>
                      <a:rPr altLang="en-US"/>
                      <a:t>469.5</a:t>
                    </a:r>
                    <a:r>
                      <a:rPr lang="en-US" altLang="en-US"/>
                      <a:t>9</a:t>
                    </a:r>
                    <a:endParaRPr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val>
            <c:numRef>
              <c:f>图5!$C$4</c:f>
              <c:numCache>
                <c:formatCode>General</c:formatCode>
                <c:ptCount val="1"/>
                <c:pt idx="0">
                  <c:v>469.56</c:v>
                </c:pt>
              </c:numCache>
            </c:numRef>
          </c:val>
        </c:ser>
        <c:ser>
          <c:idx val="2"/>
          <c:order val="2"/>
          <c:tx>
            <c:strRef>
              <c:f>图5!$D$3</c:f>
              <c:strCache>
                <c:ptCount val="1"/>
                <c:pt idx="0">
                  <c:v>下降额度</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r>
                      <a:rPr altLang="en-US"/>
                      <a:t>31.7</a:t>
                    </a:r>
                    <a:r>
                      <a:rPr lang="en-US" altLang="en-US"/>
                      <a:t>6</a:t>
                    </a:r>
                    <a:endParaRPr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lt1">
                        <a:lumMod val="8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val>
            <c:numRef>
              <c:f>图5!$D$4</c:f>
              <c:numCache>
                <c:formatCode>General</c:formatCode>
                <c:ptCount val="1"/>
                <c:pt idx="0">
                  <c:v>31.79</c:v>
                </c:pt>
              </c:numCache>
            </c:numRef>
          </c:val>
        </c:ser>
        <c:dLbls>
          <c:showLegendKey val="false"/>
          <c:showVal val="true"/>
          <c:showCatName val="false"/>
          <c:showSerName val="false"/>
          <c:showPercent val="false"/>
          <c:showBubbleSize val="false"/>
        </c:dLbls>
        <c:gapWidth val="100"/>
        <c:overlap val="-24"/>
        <c:axId val="119647616"/>
        <c:axId val="119661696"/>
      </c:barChart>
      <c:catAx>
        <c:axId val="119647616"/>
        <c:scaling>
          <c:orientation val="minMax"/>
        </c:scaling>
        <c:delete val="false"/>
        <c:axPos val="b"/>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9661696"/>
        <c:crosses val="autoZero"/>
        <c:auto val="true"/>
        <c:lblAlgn val="ctr"/>
        <c:lblOffset val="100"/>
        <c:noMultiLvlLbl val="false"/>
      </c:catAx>
      <c:valAx>
        <c:axId val="119661696"/>
        <c:scaling>
          <c:orientation val="minMax"/>
        </c:scaling>
        <c:delete val="false"/>
        <c:axPos val="l"/>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crossAx val="119647616"/>
        <c:crosses val="autoZero"/>
        <c:crossBetween val="between"/>
      </c:valAx>
      <c:spPr>
        <a:noFill/>
        <a:ln>
          <a:noFill/>
        </a:ln>
        <a:effectLst/>
      </c:spPr>
    </c:plotArea>
    <c:plotVisOnly val="true"/>
    <c:dispBlanksAs val="gap"/>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a:latin typeface="黑体" panose="02010609060101010101" charset="-122"/>
                <a:ea typeface="黑体" panose="02010609060101010101" charset="-122"/>
                <a:cs typeface="黑体" panose="02010609060101010101" charset="-122"/>
                <a:sym typeface="黑体" panose="02010609060101010101" charset="-122"/>
              </a:rPr>
              <a:t>2020</a:t>
            </a:r>
            <a:r>
              <a:rPr altLang="en-US">
                <a:latin typeface="黑体" panose="02010609060101010101" charset="-122"/>
                <a:ea typeface="黑体" panose="02010609060101010101" charset="-122"/>
                <a:cs typeface="黑体" panose="02010609060101010101" charset="-122"/>
                <a:sym typeface="黑体" panose="02010609060101010101" charset="-122"/>
              </a:rPr>
              <a:t>年一般公共预算财政拨款支出</a:t>
            </a:r>
            <a:endParaRPr lang="en-US" altLang="zh-CN">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00293091789524744"/>
          <c:y val="0.00414503059041276"/>
        </c:manualLayout>
      </c:layout>
      <c:overlay val="false"/>
      <c:spPr>
        <a:noFill/>
        <a:ln>
          <a:noFill/>
        </a:ln>
        <a:effectLst/>
      </c:spPr>
    </c:title>
    <c:autoTitleDeleted val="false"/>
    <c:plotArea>
      <c:layout>
        <c:manualLayout>
          <c:layoutTarget val="inner"/>
          <c:xMode val="edge"/>
          <c:yMode val="edge"/>
          <c:x val="0.226218256691834"/>
          <c:y val="0.163463298553909"/>
          <c:w val="0.563212079615649"/>
          <c:h val="0.751052535237049"/>
        </c:manualLayout>
      </c:layout>
      <c:pieChart>
        <c:varyColors val="true"/>
        <c:ser>
          <c:idx val="0"/>
          <c:order val="0"/>
          <c:tx>
            <c:strRef>
              <c:f>图6!$B$2</c:f>
              <c:strCache>
                <c:ptCount val="1"/>
                <c:pt idx="0">
                  <c:v>金额（万元）</c:v>
                </c:pt>
              </c:strCache>
            </c:strRef>
          </c:tx>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dLbl>
              <c:idx val="0"/>
              <c:layout>
                <c:manualLayout>
                  <c:x val="-0.138877351830198"/>
                  <c:y val="-0.20624382421178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730107753347458"/>
                  <c:y val="0.146964112689566"/>
                </c:manualLayout>
              </c:layout>
              <c:tx>
                <c:rich>
                  <a:bodyPr rot="0" spcFirstLastPara="0" vertOverflow="ellipsis" vert="horz" wrap="square" lIns="38100" tIns="19050" rIns="38100" bIns="19050" anchor="ctr" anchorCtr="true"/>
                  <a:lstStyle/>
                  <a:p>
                    <a:pPr>
                      <a:defRPr lang="zh-CN" sz="1100" b="1" i="0" u="none" strike="noStrike" kern="1200" baseline="0">
                        <a:solidFill>
                          <a:schemeClr val="tx1"/>
                        </a:solidFill>
                        <a:latin typeface="+mn-lt"/>
                        <a:ea typeface="+mn-ea"/>
                        <a:cs typeface="+mn-cs"/>
                      </a:defRPr>
                    </a:pPr>
                    <a:r>
                      <a:rPr altLang="en-US"/>
                      <a:t>34.7</a:t>
                    </a:r>
                    <a:r>
                      <a:rPr lang="en-US" altLang="en-US"/>
                      <a:t>2</a:t>
                    </a:r>
                    <a:r>
                      <a:rPr altLang="en-US"/>
                      <a:t>, 7.39%</a:t>
                    </a:r>
                    <a:endParaRPr altLang="en-US"/>
                  </a:p>
                </c:rich>
              </c:tx>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03912148249828"/>
                      <c:h val="0.109646714259564"/>
                    </c:manualLayout>
                  </c15:layout>
                </c:ext>
              </c:extLst>
            </c:dLbl>
            <c:dLbl>
              <c:idx val="2"/>
              <c:layout>
                <c:manualLayout>
                  <c:x val="0.02885679515572"/>
                  <c:y val="0.14812245962654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08991077556623"/>
                      <c:h val="0.117334797730185"/>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100" b="1"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图6!$A$3:$A$5</c:f>
              <c:strCache>
                <c:ptCount val="3"/>
                <c:pt idx="0">
                  <c:v>一般公共服务（类）支出</c:v>
                </c:pt>
                <c:pt idx="1">
                  <c:v>社会保障和就业（类）支出</c:v>
                </c:pt>
                <c:pt idx="2">
                  <c:v>住房保障支出</c:v>
                </c:pt>
              </c:strCache>
            </c:strRef>
          </c:cat>
          <c:val>
            <c:numRef>
              <c:f>图6!$B$3:$B$5</c:f>
              <c:numCache>
                <c:formatCode>General</c:formatCode>
                <c:ptCount val="3"/>
                <c:pt idx="0">
                  <c:v>407.86</c:v>
                </c:pt>
                <c:pt idx="1">
                  <c:v>34.71</c:v>
                </c:pt>
                <c:pt idx="2">
                  <c:v>27.01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lt1">
                  <a:lumMod val="85000"/>
                </a:schemeClr>
              </a:solidFill>
              <a:latin typeface="+mn-lt"/>
              <a:ea typeface="+mn-ea"/>
              <a:cs typeface="+mn-cs"/>
            </a:defRPr>
          </a:pPr>
        </a:p>
      </c:txPr>
    </c:legend>
    <c:plotVisOnly val="true"/>
    <c:dispBlanksAs val="zero"/>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黑体" panose="02010609060101010101" charset="-122"/>
                <a:ea typeface="黑体" panose="02010609060101010101" charset="-122"/>
                <a:cs typeface="黑体" panose="02010609060101010101" charset="-122"/>
                <a:sym typeface="黑体" panose="02010609060101010101" charset="-122"/>
              </a:defRPr>
            </a:pPr>
            <a:r>
              <a:rPr lang="en-US" altLang="zh-CN" sz="1600">
                <a:latin typeface="黑体" panose="02010609060101010101" charset="-122"/>
                <a:ea typeface="黑体" panose="02010609060101010101" charset="-122"/>
                <a:cs typeface="黑体" panose="02010609060101010101" charset="-122"/>
                <a:sym typeface="黑体" panose="02010609060101010101" charset="-122"/>
              </a:rPr>
              <a:t>2020</a:t>
            </a:r>
            <a:r>
              <a:rPr altLang="en-US" sz="1600">
                <a:latin typeface="黑体" panose="02010609060101010101" charset="-122"/>
                <a:ea typeface="黑体" panose="02010609060101010101" charset="-122"/>
                <a:cs typeface="黑体" panose="02010609060101010101" charset="-122"/>
                <a:sym typeface="黑体" panose="02010609060101010101" charset="-122"/>
              </a:rPr>
              <a:t>年“三公”经费财政拨款支出</a:t>
            </a:r>
            <a:endParaRPr lang="en-US" altLang="zh-CN" sz="16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0130555555555556"/>
          <c:y val="0.015733456732994"/>
        </c:manualLayout>
      </c:layout>
      <c:overlay val="false"/>
      <c:spPr>
        <a:noFill/>
        <a:ln>
          <a:noFill/>
        </a:ln>
        <a:effectLst/>
      </c:spPr>
    </c:title>
    <c:autoTitleDeleted val="false"/>
    <c:plotArea>
      <c:layout/>
      <c:pieChart>
        <c:varyColors val="true"/>
        <c:ser>
          <c:idx val="0"/>
          <c:order val="0"/>
          <c:tx>
            <c:strRef>
              <c:f>图7!$B$2</c:f>
              <c:strCache>
                <c:ptCount val="1"/>
                <c:pt idx="0">
                  <c:v>金额（万元）</c:v>
                </c:pt>
              </c:strCache>
            </c:strRef>
          </c:tx>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dLbl>
              <c:idx val="0"/>
              <c:layout>
                <c:manualLayout>
                  <c:x val="-0.117595891308111"/>
                  <c:y val="-0.23298349114090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18074367709628"/>
                      <c:h val="0.118481950015427"/>
                    </c:manualLayout>
                  </c15:layout>
                </c:ext>
              </c:extLst>
            </c:dLbl>
            <c:dLbl>
              <c:idx val="1"/>
              <c:layout>
                <c:manualLayout>
                  <c:x val="0.0590987450475719"/>
                  <c:y val="0.16661524220919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10317657422134"/>
                      <c:h val="0.107528540573897"/>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lt1">
                        <a:lumMod val="8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lt1">
                          <a:lumMod val="95000"/>
                          <a:alpha val="54000"/>
                        </a:schemeClr>
                      </a:solidFill>
                      <a:prstDash val="solid"/>
                      <a:round/>
                    </a:ln>
                    <a:effectLst/>
                  </c:spPr>
                </c15:leaderLines>
              </c:ext>
            </c:extLst>
          </c:dLbls>
          <c:cat>
            <c:strRef>
              <c:f>图7!$A$3:$A$5</c:f>
              <c:strCache>
                <c:ptCount val="3"/>
                <c:pt idx="0">
                  <c:v>公务用车购置及运行维护费支出</c:v>
                </c:pt>
                <c:pt idx="1">
                  <c:v>公务接待费支出</c:v>
                </c:pt>
                <c:pt idx="2">
                  <c:v>因公出国（境）费支出</c:v>
                </c:pt>
              </c:strCache>
            </c:strRef>
          </c:cat>
          <c:val>
            <c:numRef>
              <c:f>图7!$B$3:$B$5</c:f>
              <c:numCache>
                <c:formatCode>General</c:formatCode>
                <c:ptCount val="3"/>
                <c:pt idx="0">
                  <c:v>1.71</c:v>
                </c:pt>
                <c:pt idx="1">
                  <c:v>0.2</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baseline="0">
                <a:solidFill>
                  <a:schemeClr val="lt1">
                    <a:lumMod val="85000"/>
                  </a:schemeClr>
                </a:solid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baseline="0">
                <a:solidFill>
                  <a:schemeClr val="lt1">
                    <a:lumMod val="85000"/>
                  </a:schemeClr>
                </a:solid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baseline="0">
                <a:solidFill>
                  <a:schemeClr val="lt1">
                    <a:lumMod val="85000"/>
                  </a:schemeClr>
                </a:solidFill>
                <a:latin typeface="+mn-lt"/>
                <a:ea typeface="+mn-ea"/>
                <a:cs typeface="+mn-cs"/>
              </a:defRPr>
            </a:pPr>
          </a:p>
        </c:txPr>
      </c:legendEntry>
      <c:layout>
        <c:manualLayout>
          <c:xMode val="edge"/>
          <c:yMode val="edge"/>
          <c:x val="0.0258333333333334"/>
          <c:y val="0.895187413234614"/>
          <c:w val="0.949027777777778"/>
          <c:h val="0.0770476631189268"/>
        </c:manualLayout>
      </c:layout>
      <c:overlay val="false"/>
      <c:spPr>
        <a:noFill/>
        <a:ln>
          <a:noFill/>
        </a:ln>
        <a:effectLst/>
      </c:spPr>
      <c:txPr>
        <a:bodyPr rot="0" spcFirstLastPara="0" vertOverflow="ellipsis" vert="horz" wrap="square" anchor="ctr" anchorCtr="true"/>
        <a:lstStyle/>
        <a:p>
          <a:pPr>
            <a:defRPr lang="zh-CN" sz="1000" b="0" i="0" u="none" strike="noStrike" kern="1200" baseline="0">
              <a:solidFill>
                <a:schemeClr val="lt1">
                  <a:lumMod val="85000"/>
                </a:schemeClr>
              </a:solidFill>
              <a:latin typeface="+mn-lt"/>
              <a:ea typeface="+mn-ea"/>
              <a:cs typeface="+mn-cs"/>
            </a:defRPr>
          </a:pPr>
        </a:p>
      </c:txPr>
    </c:legend>
    <c:plotVisOnly val="true"/>
    <c:dispBlanksAs val="zero"/>
    <c:showDLblsOverMax val="false"/>
  </c:chart>
  <c:spPr>
    <a:gradFill flip="none" rotWithShape="true">
      <a:gsLst>
        <a:gs pos="0">
          <a:schemeClr val="dk1">
            <a:lumMod val="65000"/>
            <a:lumOff val="35000"/>
          </a:schemeClr>
        </a:gs>
        <a:gs pos="100000">
          <a:schemeClr val="dk1">
            <a:lumMod val="85000"/>
            <a:lumOff val="15000"/>
          </a:schemeClr>
        </a:gs>
      </a:gsLst>
      <a:path path="circle">
        <a:fillToRect l="50000" t="50000" r="50000" b="50000"/>
      </a:path>
    </a:gradFill>
    <a:ln w="9525" cap="flat" cmpd="sng" algn="ctr">
      <a:noFill/>
      <a:prstDash val="solid"/>
      <a:round/>
    </a:ln>
    <a:effectLst/>
  </c:spPr>
  <c:txPr>
    <a:bodyPr/>
    <a:lstStyle/>
    <a:p>
      <a:pPr>
        <a:defRPr lang="zh-CN" sz="1200"/>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1930</Words>
  <Characters>11007</Characters>
  <Lines>91</Lines>
  <Paragraphs>25</Paragraphs>
  <TotalTime>909</TotalTime>
  <ScaleCrop>false</ScaleCrop>
  <LinksUpToDate>false</LinksUpToDate>
  <CharactersWithSpaces>12912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2021-09-02T01:09:00Z</dcterms:created>
  <dc:creator>曹颖</dc:creator>
  <cp:lastModifiedBy>user</cp:lastModifiedBy>
  <cp:lastPrinted>2021-07-29T11:56:00Z</cp:lastPrinted>
  <dcterms:modified xsi:type="dcterms:W3CDTF">2023-06-29T09:01:26Z</dcterms:modified>
  <dc:title>四川省***</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