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96597"/>
      <w:bookmarkStart w:id="2" w:name="_Toc15396475"/>
      <w:bookmarkStart w:id="3" w:name="_Toc15377425"/>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476"/>
      <w:bookmarkStart w:id="8" w:name="_Toc15378442"/>
      <w:bookmarkStart w:id="9" w:name="_Toc15306268"/>
      <w:bookmarkStart w:id="10" w:name="_Toc15396598"/>
      <w:bookmarkStart w:id="11" w:name="_Toc15377426"/>
      <w:r>
        <w:rPr>
          <w:rFonts w:hint="eastAsia" w:ascii="方正小标宋简体" w:hAnsi="方正小标宋简体" w:eastAsia="方正小标宋简体" w:cs="方正小标宋简体"/>
          <w:sz w:val="72"/>
          <w:szCs w:val="72"/>
        </w:rPr>
        <w:t>攀枝花市信访局部门决算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方正小标宋简体" w:hAnsi="宋体" w:eastAsia="方正小标宋简体"/>
          <w:sz w:val="36"/>
          <w:szCs w:val="36"/>
        </w:rPr>
      </w:pPr>
      <w:r>
        <w:rPr>
          <w:rFonts w:ascii="方正小标宋简体" w:hAnsi="宋体" w:eastAsia="方正小标宋简体"/>
          <w:sz w:val="36"/>
          <w:szCs w:val="36"/>
        </w:rPr>
        <w:br w:type="page"/>
      </w: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公开时间：2023年9月</w:t>
      </w:r>
      <w:r>
        <w:t>1</w:t>
      </w:r>
      <w:r>
        <w:rPr>
          <w:rFonts w:hint="eastAsia"/>
        </w:rPr>
        <w:t>4日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Pr>
          <w:rFonts w:cstheme="minorBidi"/>
          <w:sz w:val="24"/>
          <w:szCs w:val="24"/>
        </w:rPr>
        <w:tab/>
      </w:r>
      <w:r>
        <w:rPr>
          <w:rFonts w:hint="eastAsia" w:cstheme="minorBidi"/>
          <w:sz w:val="24"/>
          <w:szCs w:val="24"/>
        </w:rPr>
        <w:t>4</w:t>
      </w:r>
    </w:p>
    <w:p>
      <w:pPr>
        <w:pStyle w:val="13"/>
        <w:adjustRightInd w:val="0"/>
        <w:snapToGrid w:val="0"/>
        <w:spacing w:line="440" w:lineRule="exact"/>
        <w:jc w:val="left"/>
        <w:rPr>
          <w:rFonts w:ascii="仿宋" w:hAnsi="仿宋" w:eastAsia="仿宋"/>
          <w:sz w:val="24"/>
        </w:rPr>
      </w:pPr>
      <w:r>
        <w:rPr>
          <w:rFonts w:hint="eastAsia"/>
          <w:sz w:val="24"/>
        </w:rPr>
        <w:t>一、部门职责</w:t>
      </w:r>
      <w:r>
        <w:rPr>
          <w:rFonts w:cstheme="minorBidi"/>
          <w:sz w:val="24"/>
        </w:rPr>
        <w:tab/>
      </w:r>
      <w:r>
        <w:rPr>
          <w:rFonts w:hint="eastAsia" w:cstheme="minorBidi"/>
          <w:sz w:val="24"/>
        </w:rPr>
        <w:t>4</w:t>
      </w:r>
    </w:p>
    <w:p>
      <w:pPr>
        <w:pStyle w:val="13"/>
        <w:adjustRightInd w:val="0"/>
        <w:snapToGrid w:val="0"/>
        <w:spacing w:line="440" w:lineRule="exact"/>
        <w:jc w:val="left"/>
        <w:rPr>
          <w:rFonts w:ascii="仿宋" w:hAnsi="仿宋" w:eastAsia="仿宋" w:cstheme="minorBidi"/>
          <w:sz w:val="24"/>
        </w:rPr>
      </w:pPr>
      <w:r>
        <w:rPr>
          <w:rFonts w:hint="eastAsia"/>
          <w:sz w:val="24"/>
        </w:rPr>
        <w:t>二、机构设置</w:t>
      </w:r>
      <w:r>
        <w:rPr>
          <w:rFonts w:cstheme="minorBidi"/>
          <w:sz w:val="24"/>
        </w:rPr>
        <w:tab/>
      </w:r>
      <w:r>
        <w:rPr>
          <w:rFonts w:hint="eastAsia" w:cstheme="minorBidi"/>
          <w:sz w:val="24"/>
        </w:rPr>
        <w:t>5</w:t>
      </w:r>
    </w:p>
    <w:p>
      <w:pPr>
        <w:pStyle w:val="12"/>
        <w:adjustRightInd w:val="0"/>
        <w:snapToGrid w:val="0"/>
        <w:spacing w:before="0" w:line="440" w:lineRule="exact"/>
        <w:jc w:val="left"/>
        <w:rPr>
          <w:sz w:val="24"/>
          <w:szCs w:val="24"/>
        </w:rPr>
      </w:pPr>
      <w:r>
        <w:rPr>
          <w:rFonts w:hint="eastAsia"/>
          <w:sz w:val="24"/>
        </w:rPr>
        <w:t>第二部分 2022年度部门决算情况说明</w:t>
      </w:r>
      <w:r>
        <w:rPr>
          <w:rFonts w:cstheme="minorBidi"/>
          <w:sz w:val="24"/>
          <w:szCs w:val="24"/>
        </w:rPr>
        <w:tab/>
      </w:r>
      <w:r>
        <w:rPr>
          <w:rFonts w:hint="eastAsia" w:cstheme="minorBidi"/>
          <w:sz w:val="24"/>
          <w:szCs w:val="24"/>
        </w:rPr>
        <w:t>6</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rPr>
        <w:t>6</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rPr>
        <w:t>6</w:t>
      </w:r>
    </w:p>
    <w:p>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r>
        <w:rPr>
          <w:rFonts w:cstheme="minorBidi"/>
          <w:sz w:val="24"/>
        </w:rPr>
        <w:tab/>
      </w:r>
      <w:r>
        <w:rPr>
          <w:rFonts w:hint="eastAsia" w:cstheme="minorBidi"/>
          <w:sz w:val="24"/>
        </w:rPr>
        <w:t>7</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cstheme="minorBidi"/>
          <w:sz w:val="24"/>
        </w:rPr>
        <w:tab/>
      </w:r>
      <w:r>
        <w:rPr>
          <w:rFonts w:hint="eastAsia" w:cstheme="minorBidi"/>
          <w:sz w:val="24"/>
        </w:rPr>
        <w:t>7</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rPr>
        <w:t>8</w:t>
      </w:r>
    </w:p>
    <w:p>
      <w:pPr>
        <w:pStyle w:val="13"/>
        <w:adjustRightInd w:val="0"/>
        <w:snapToGrid w:val="0"/>
        <w:spacing w:line="440" w:lineRule="exact"/>
        <w:jc w:val="left"/>
        <w:rPr>
          <w:rFonts w:ascii="仿宋" w:hAnsi="仿宋" w:eastAsia="仿宋" w:cstheme="minorBidi"/>
          <w:sz w:val="24"/>
          <w:lang w:val="en"/>
        </w:rPr>
      </w:pPr>
      <w:r>
        <w:rPr>
          <w:rFonts w:hint="eastAsia"/>
          <w:sz w:val="24"/>
        </w:rPr>
        <w:t>六、一般公共预算财政拨款基本支出决算情况说明</w:t>
      </w:r>
      <w:r>
        <w:rPr>
          <w:rFonts w:cstheme="minorBidi"/>
          <w:sz w:val="24"/>
        </w:rPr>
        <w:tab/>
      </w:r>
      <w:r>
        <w:rPr>
          <w:rFonts w:cstheme="minorBidi"/>
          <w:sz w:val="24"/>
          <w:lang w:val="en"/>
        </w:rPr>
        <w:t>9</w:t>
      </w:r>
    </w:p>
    <w:p>
      <w:pPr>
        <w:pStyle w:val="13"/>
        <w:adjustRightInd w:val="0"/>
        <w:snapToGrid w:val="0"/>
        <w:spacing w:line="440" w:lineRule="exact"/>
        <w:jc w:val="left"/>
        <w:rPr>
          <w:rFonts w:ascii="仿宋" w:hAnsi="仿宋" w:eastAsia="仿宋" w:cstheme="minorBidi"/>
          <w:sz w:val="24"/>
          <w:lang w:val="en"/>
        </w:rPr>
      </w:pPr>
      <w:r>
        <w:rPr>
          <w:rFonts w:hint="eastAsia"/>
          <w:sz w:val="24"/>
        </w:rPr>
        <w:t>七、财政拨款“三公”经费支出决算情况说明</w:t>
      </w:r>
      <w:r>
        <w:rPr>
          <w:rFonts w:cstheme="minorBidi"/>
          <w:sz w:val="24"/>
        </w:rPr>
        <w:tab/>
      </w:r>
      <w:r>
        <w:rPr>
          <w:rFonts w:hint="eastAsia" w:cstheme="minorBidi"/>
          <w:sz w:val="24"/>
        </w:rPr>
        <w:t>1</w:t>
      </w:r>
      <w:r>
        <w:rPr>
          <w:rFonts w:cstheme="minorBidi"/>
          <w:sz w:val="24"/>
          <w:lang w:val="en"/>
        </w:rPr>
        <w:t>0</w:t>
      </w:r>
    </w:p>
    <w:p>
      <w:pPr>
        <w:pStyle w:val="13"/>
        <w:adjustRightInd w:val="0"/>
        <w:snapToGrid w:val="0"/>
        <w:spacing w:line="440" w:lineRule="exact"/>
        <w:jc w:val="left"/>
        <w:rPr>
          <w:rFonts w:ascii="仿宋" w:hAnsi="仿宋" w:eastAsia="仿宋" w:cstheme="minorBidi"/>
          <w:sz w:val="24"/>
          <w:lang w:val="en"/>
        </w:rPr>
      </w:pPr>
      <w:r>
        <w:rPr>
          <w:rFonts w:hint="eastAsia"/>
          <w:sz w:val="24"/>
        </w:rPr>
        <w:t>八、政府性基金预算支出决算情况说明</w:t>
      </w:r>
      <w:r>
        <w:rPr>
          <w:rFonts w:cstheme="minorBidi"/>
          <w:sz w:val="24"/>
        </w:rPr>
        <w:tab/>
      </w:r>
      <w:r>
        <w:rPr>
          <w:rFonts w:hint="eastAsia" w:cstheme="minorBidi"/>
          <w:sz w:val="24"/>
        </w:rPr>
        <w:t>1</w:t>
      </w:r>
      <w:r>
        <w:rPr>
          <w:rFonts w:cstheme="minorBidi"/>
          <w:sz w:val="24"/>
          <w:lang w:val="en"/>
        </w:rPr>
        <w:t>2</w:t>
      </w:r>
    </w:p>
    <w:p>
      <w:pPr>
        <w:pStyle w:val="13"/>
        <w:adjustRightInd w:val="0"/>
        <w:snapToGrid w:val="0"/>
        <w:spacing w:line="440" w:lineRule="exact"/>
        <w:ind w:leftChars="0"/>
        <w:jc w:val="left"/>
        <w:rPr>
          <w:rFonts w:cstheme="minorBidi"/>
          <w:sz w:val="24"/>
          <w:lang w:val="en"/>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eastAsia" w:cstheme="minorBidi"/>
          <w:sz w:val="24"/>
        </w:rPr>
        <w:t>1</w:t>
      </w:r>
      <w:r>
        <w:rPr>
          <w:rFonts w:cstheme="minorBidi"/>
          <w:sz w:val="24"/>
          <w:lang w:val="en"/>
        </w:rPr>
        <w:t>2</w:t>
      </w:r>
    </w:p>
    <w:p>
      <w:pPr>
        <w:pStyle w:val="13"/>
        <w:adjustRightInd w:val="0"/>
        <w:snapToGrid w:val="0"/>
        <w:spacing w:line="440" w:lineRule="exact"/>
        <w:ind w:leftChars="0"/>
        <w:jc w:val="left"/>
        <w:rPr>
          <w:rFonts w:cstheme="minorBidi"/>
          <w:sz w:val="24"/>
          <w:lang w:val="en"/>
        </w:rPr>
      </w:pPr>
      <w:r>
        <w:rPr>
          <w:rFonts w:hint="eastAsia" w:cstheme="minorBidi"/>
          <w:sz w:val="24"/>
        </w:rPr>
        <w:t>十、其他重要事项的情况说明</w:t>
      </w:r>
      <w:r>
        <w:rPr>
          <w:rFonts w:cstheme="minorBidi"/>
          <w:sz w:val="24"/>
        </w:rPr>
        <w:tab/>
      </w:r>
      <w:r>
        <w:rPr>
          <w:rFonts w:hint="eastAsia" w:cstheme="minorBidi"/>
          <w:sz w:val="24"/>
        </w:rPr>
        <w:t>1</w:t>
      </w:r>
      <w:r>
        <w:rPr>
          <w:rFonts w:cstheme="minorBidi"/>
          <w:sz w:val="24"/>
          <w:lang w:val="en"/>
        </w:rPr>
        <w:t>2</w:t>
      </w:r>
    </w:p>
    <w:p>
      <w:pPr>
        <w:pStyle w:val="12"/>
        <w:adjustRightInd w:val="0"/>
        <w:snapToGrid w:val="0"/>
        <w:spacing w:before="0" w:line="440" w:lineRule="exact"/>
        <w:jc w:val="left"/>
        <w:rPr>
          <w:rFonts w:cstheme="minorBidi"/>
          <w:sz w:val="24"/>
          <w:szCs w:val="24"/>
          <w:lang w:val="en"/>
        </w:rPr>
      </w:pPr>
      <w:r>
        <w:rPr>
          <w:rFonts w:hint="eastAsia"/>
          <w:sz w:val="24"/>
        </w:rPr>
        <w:t>第三部分</w:t>
      </w:r>
      <w:r>
        <w:rPr>
          <w:sz w:val="24"/>
        </w:rPr>
        <w:t xml:space="preserve"> </w:t>
      </w:r>
      <w:r>
        <w:rPr>
          <w:rFonts w:hint="eastAsia"/>
          <w:sz w:val="24"/>
        </w:rPr>
        <w:t>名词解释</w:t>
      </w:r>
      <w:r>
        <w:rPr>
          <w:rFonts w:cstheme="minorBidi"/>
          <w:sz w:val="24"/>
          <w:szCs w:val="24"/>
        </w:rPr>
        <w:tab/>
      </w:r>
      <w:r>
        <w:rPr>
          <w:rFonts w:hint="eastAsia" w:cstheme="minorBidi"/>
          <w:sz w:val="24"/>
          <w:szCs w:val="24"/>
        </w:rPr>
        <w:t>1</w:t>
      </w:r>
      <w:r>
        <w:rPr>
          <w:rFonts w:cstheme="minorBidi"/>
          <w:sz w:val="24"/>
          <w:szCs w:val="24"/>
          <w:lang w:val="en"/>
        </w:rPr>
        <w:t>4</w:t>
      </w:r>
    </w:p>
    <w:p>
      <w:pPr>
        <w:pStyle w:val="12"/>
        <w:adjustRightInd w:val="0"/>
        <w:snapToGrid w:val="0"/>
        <w:spacing w:before="0" w:line="440" w:lineRule="exact"/>
        <w:jc w:val="left"/>
        <w:rPr>
          <w:rFonts w:cstheme="minorBidi"/>
          <w:sz w:val="24"/>
          <w:szCs w:val="24"/>
          <w:lang w:val="en"/>
        </w:rPr>
      </w:pPr>
      <w:r>
        <w:rPr>
          <w:rFonts w:hint="eastAsia"/>
          <w:sz w:val="24"/>
        </w:rPr>
        <w:t>第四部分</w:t>
      </w:r>
      <w:r>
        <w:rPr>
          <w:sz w:val="24"/>
        </w:rPr>
        <w:t xml:space="preserve"> </w:t>
      </w:r>
      <w:r>
        <w:rPr>
          <w:rFonts w:hint="eastAsia"/>
          <w:sz w:val="24"/>
        </w:rPr>
        <w:t>附件</w:t>
      </w:r>
      <w:r>
        <w:rPr>
          <w:rFonts w:cstheme="minorBidi"/>
          <w:sz w:val="24"/>
          <w:szCs w:val="24"/>
        </w:rPr>
        <w:tab/>
      </w:r>
      <w:r>
        <w:rPr>
          <w:rFonts w:hint="eastAsia" w:cstheme="minorBidi"/>
          <w:sz w:val="24"/>
          <w:szCs w:val="24"/>
        </w:rPr>
        <w:t>1</w:t>
      </w:r>
      <w:r>
        <w:rPr>
          <w:rFonts w:cstheme="minorBidi"/>
          <w:sz w:val="24"/>
          <w:szCs w:val="24"/>
          <w:lang w:val="en"/>
        </w:rPr>
        <w:t>7</w:t>
      </w:r>
    </w:p>
    <w:p>
      <w:pPr>
        <w:pStyle w:val="12"/>
        <w:adjustRightInd w:val="0"/>
        <w:snapToGrid w:val="0"/>
        <w:spacing w:before="0" w:line="440" w:lineRule="exact"/>
        <w:jc w:val="left"/>
        <w:rPr>
          <w:rFonts w:cstheme="minorBidi"/>
          <w:sz w:val="24"/>
          <w:szCs w:val="24"/>
          <w:lang w:val="en"/>
        </w:rPr>
      </w:pPr>
      <w:r>
        <w:rPr>
          <w:rFonts w:hint="eastAsia"/>
          <w:sz w:val="24"/>
        </w:rPr>
        <w:t>第五部分</w:t>
      </w:r>
      <w:r>
        <w:rPr>
          <w:sz w:val="24"/>
        </w:rPr>
        <w:t xml:space="preserve"> </w:t>
      </w:r>
      <w:r>
        <w:rPr>
          <w:rFonts w:hint="eastAsia"/>
          <w:sz w:val="24"/>
        </w:rPr>
        <w:t>附表</w:t>
      </w:r>
      <w:r>
        <w:rPr>
          <w:rFonts w:cstheme="minorBidi"/>
          <w:sz w:val="24"/>
          <w:szCs w:val="24"/>
        </w:rPr>
        <w:tab/>
      </w:r>
      <w:r>
        <w:rPr>
          <w:rFonts w:cstheme="minorBidi"/>
          <w:sz w:val="24"/>
          <w:szCs w:val="24"/>
          <w:lang w:val="en"/>
        </w:rPr>
        <w:t>3</w:t>
      </w:r>
      <w:r>
        <w:rPr>
          <w:rFonts w:hint="eastAsia" w:cstheme="minorBidi"/>
          <w:sz w:val="24"/>
          <w:szCs w:val="24"/>
          <w:lang w:val="en"/>
        </w:rPr>
        <w:t>7</w:t>
      </w:r>
    </w:p>
    <w:p>
      <w:pPr>
        <w:pStyle w:val="13"/>
        <w:adjustRightInd w:val="0"/>
        <w:snapToGrid w:val="0"/>
        <w:spacing w:line="440" w:lineRule="exact"/>
        <w:jc w:val="left"/>
        <w:rPr>
          <w:sz w:val="24"/>
          <w:lang w:val="en"/>
        </w:rPr>
      </w:pPr>
      <w:r>
        <w:rPr>
          <w:rFonts w:hint="eastAsia"/>
          <w:sz w:val="24"/>
        </w:rPr>
        <w:t>一、收入支出决算总表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二、收入决算表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三、支出决算表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四、财政拨款收入支出决算总表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五、财政拨款支出决算明细表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六、一般公共预算财政拨款支出决算表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七、一般公共预算财政拨款支出决算明细表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八、一般公共预算财政拨款基本支出决算明细表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九、一般公共预算财政拨款项目支出决算表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十、政府性基金预算财政拨款收入支出决算表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十一、国有资本经营预算财政拨款收入支出决算表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十二、国有资本经营预算财政拨款支出决算表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rFonts w:asciiTheme="minorEastAsia" w:hAnsiTheme="minorEastAsia" w:eastAsiaTheme="minorEastAsia" w:cstheme="minorEastAsia"/>
          <w:sz w:val="24"/>
          <w:lang w:val="en"/>
        </w:rPr>
      </w:pPr>
      <w:r>
        <w:rPr>
          <w:rFonts w:hint="eastAsia"/>
          <w:sz w:val="24"/>
        </w:rPr>
        <w:t>十三、财政拨款“三公”经费支出决算表</w:t>
      </w:r>
      <w:r>
        <w:rPr>
          <w:rFonts w:cstheme="minorBidi"/>
          <w:sz w:val="24"/>
        </w:rPr>
        <w:tab/>
      </w:r>
      <w:r>
        <w:rPr>
          <w:rFonts w:cstheme="minorBidi"/>
          <w:sz w:val="24"/>
          <w:lang w:val="en"/>
        </w:rPr>
        <w:t>3</w:t>
      </w:r>
      <w:r>
        <w:rPr>
          <w:rFonts w:hint="eastAsia" w:cstheme="minorBidi"/>
          <w:sz w:val="24"/>
          <w:lang w:val="en"/>
        </w:rPr>
        <w:t>7</w:t>
      </w:r>
    </w:p>
    <w:p>
      <w:pPr>
        <w:widowControl/>
        <w:adjustRightInd w:val="0"/>
        <w:snapToGrid w:val="0"/>
        <w:spacing w:line="440" w:lineRule="exact"/>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30"/>
          <w:rFonts w:ascii="黑体" w:hAnsi="黑体" w:eastAsia="黑体"/>
          <w:b w:val="0"/>
          <w:bCs w:val="0"/>
        </w:rPr>
      </w:pPr>
      <w:r>
        <w:rPr>
          <w:rFonts w:hint="eastAsia" w:ascii="黑体" w:hAnsi="黑体" w:eastAsia="黑体"/>
          <w:b w:val="0"/>
        </w:rPr>
        <w:t xml:space="preserve">第一部分 </w:t>
      </w:r>
      <w:r>
        <w:rPr>
          <w:rStyle w:val="30"/>
          <w:rFonts w:hint="eastAsia" w:ascii="黑体" w:hAnsi="黑体" w:eastAsia="黑体"/>
          <w:b w:val="0"/>
          <w:bCs w:val="0"/>
        </w:rPr>
        <w:t>部门概况</w:t>
      </w:r>
      <w:bookmarkEnd w:id="12"/>
      <w:bookmarkEnd w:id="13"/>
    </w:p>
    <w:p/>
    <w:p>
      <w:pPr>
        <w:pStyle w:val="4"/>
        <w:numPr>
          <w:ilvl w:val="0"/>
          <w:numId w:val="1"/>
        </w:numPr>
        <w:spacing w:line="600" w:lineRule="exact"/>
        <w:rPr>
          <w:rFonts w:ascii="黑体" w:hAnsi="黑体" w:eastAsia="黑体"/>
          <w:b w:val="0"/>
        </w:rPr>
      </w:pPr>
      <w:r>
        <w:rPr>
          <w:rFonts w:hint="eastAsia" w:ascii="黑体" w:hAnsi="黑体" w:eastAsia="黑体"/>
          <w:b w:val="0"/>
        </w:rPr>
        <w:t>部门职责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1.执行党和国家关于信访工作的方针政策以及市委、市政府的决策部署，全面贯彻中共中央、国务院《信访工作条例》，规范信访工作行为，畅通信访渠道，反映社情民意。</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2.负责向市委、市政府反映来信来电来访中提出的重要建议、意见和问题，综合研判信访信息，开展调查研究，提出制定修改完善有关法规政策的建议。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3.负责处理市内外群众、境外人士、法人及其他组织通过信访渠道给市委、市政府及领导同志的来信来电，接待来访。</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4.综合协调指导全市信访工作，督促检查市直各部门（单位）和各县（区）信访工作，总结推广各地、各部门信访工作经验，提出改进和加强信访工作的意见和建议，协调信访工作的宣传和信息发布。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5.协调处理群众进京、赴省及到市的集体上访和非正常上访情况，综合协调处理跨地区、跨部门的重要信访问题。</w:t>
      </w:r>
    </w:p>
    <w:p>
      <w:pPr>
        <w:pStyle w:val="2"/>
        <w:spacing w:before="93" w:line="600" w:lineRule="exact"/>
        <w:ind w:firstLine="640" w:firstLineChars="200"/>
        <w:rPr>
          <w:rFonts w:ascii="仿宋" w:hAnsi="仿宋" w:eastAsia="仿宋"/>
          <w:kern w:val="2"/>
          <w:sz w:val="32"/>
          <w:szCs w:val="32"/>
        </w:rPr>
      </w:pPr>
      <w:r>
        <w:rPr>
          <w:rFonts w:hint="eastAsia" w:ascii="仿宋" w:hAnsi="仿宋" w:eastAsia="仿宋"/>
          <w:kern w:val="2"/>
          <w:sz w:val="32"/>
          <w:szCs w:val="32"/>
        </w:rPr>
        <w:t>6. 负责落实上级和本级人民政府交办的信访事项，向市直各部门（单位）、各县（区）转办、交办信访事项，督促检查重要信访事项的处理和落实。</w:t>
      </w:r>
    </w:p>
    <w:p>
      <w:pPr>
        <w:pStyle w:val="2"/>
        <w:spacing w:before="93" w:line="600" w:lineRule="exact"/>
        <w:ind w:firstLine="640" w:firstLineChars="200"/>
        <w:rPr>
          <w:rFonts w:ascii="仿宋" w:hAnsi="仿宋" w:eastAsia="仿宋"/>
          <w:kern w:val="2"/>
          <w:sz w:val="32"/>
          <w:szCs w:val="32"/>
        </w:rPr>
      </w:pPr>
      <w:r>
        <w:rPr>
          <w:rFonts w:hint="eastAsia" w:ascii="仿宋" w:hAnsi="仿宋" w:eastAsia="仿宋"/>
          <w:kern w:val="2"/>
          <w:sz w:val="32"/>
          <w:szCs w:val="32"/>
        </w:rPr>
        <w:t>7.建立和完善信访信息汇集分析机制，指导信访信息系统建设和应用。</w:t>
      </w:r>
    </w:p>
    <w:p>
      <w:pPr>
        <w:pStyle w:val="2"/>
        <w:spacing w:before="93" w:line="600" w:lineRule="exact"/>
        <w:ind w:firstLine="640" w:firstLineChars="200"/>
        <w:rPr>
          <w:rFonts w:ascii="仿宋" w:hAnsi="仿宋" w:eastAsia="仿宋"/>
          <w:kern w:val="2"/>
          <w:sz w:val="32"/>
          <w:szCs w:val="32"/>
        </w:rPr>
      </w:pPr>
      <w:r>
        <w:rPr>
          <w:rFonts w:hint="eastAsia" w:ascii="仿宋" w:hAnsi="仿宋" w:eastAsia="仿宋"/>
          <w:kern w:val="2"/>
          <w:sz w:val="32"/>
          <w:szCs w:val="32"/>
        </w:rPr>
        <w:t>8.</w:t>
      </w:r>
      <w:r>
        <w:rPr>
          <w:rFonts w:hint="eastAsia"/>
        </w:rPr>
        <w:t xml:space="preserve"> </w:t>
      </w:r>
      <w:r>
        <w:rPr>
          <w:rFonts w:hint="eastAsia" w:ascii="仿宋" w:hAnsi="仿宋" w:eastAsia="仿宋"/>
          <w:kern w:val="2"/>
          <w:sz w:val="32"/>
          <w:szCs w:val="32"/>
        </w:rPr>
        <w:t>承担市信访工作联席会议、市政府信访事项复查复核委员会的日常工作，督促落实有关事项。</w:t>
      </w:r>
    </w:p>
    <w:p>
      <w:pPr>
        <w:spacing w:line="600" w:lineRule="exact"/>
        <w:ind w:firstLine="640" w:firstLineChars="200"/>
      </w:pPr>
      <w:r>
        <w:rPr>
          <w:rFonts w:hint="eastAsia" w:ascii="仿宋" w:hAnsi="仿宋" w:eastAsia="仿宋"/>
          <w:sz w:val="32"/>
          <w:szCs w:val="32"/>
        </w:rPr>
        <w:t>9.承担市委、市政府和上级信访部门批办、交办的其他事项。</w:t>
      </w:r>
    </w:p>
    <w:p>
      <w:pPr>
        <w:pStyle w:val="4"/>
        <w:tabs>
          <w:tab w:val="center" w:pos="4153"/>
        </w:tabs>
        <w:spacing w:line="600" w:lineRule="exact"/>
        <w:rPr>
          <w:b w:val="0"/>
          <w:bCs w:val="0"/>
        </w:rPr>
      </w:pPr>
      <w:bookmarkStart w:id="14" w:name="_Toc15396601"/>
      <w:bookmarkStart w:id="15" w:name="_Toc15377200"/>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14"/>
      <w:bookmarkEnd w:id="15"/>
      <w:r>
        <w:rPr>
          <w:rStyle w:val="31"/>
          <w:rFonts w:ascii="黑体" w:hAnsi="黑体" w:eastAsia="黑体"/>
          <w:b w:val="0"/>
          <w:bCs w:val="0"/>
        </w:rPr>
        <w:tab/>
      </w:r>
    </w:p>
    <w:p>
      <w:pPr>
        <w:pStyle w:val="2"/>
        <w:spacing w:before="93" w:line="600" w:lineRule="exact"/>
        <w:ind w:firstLine="640" w:firstLineChars="200"/>
        <w:rPr>
          <w:rFonts w:ascii="仿宋" w:hAnsi="仿宋" w:eastAsia="仿宋"/>
          <w:kern w:val="2"/>
          <w:sz w:val="32"/>
          <w:szCs w:val="32"/>
        </w:rPr>
      </w:pPr>
      <w:r>
        <w:rPr>
          <w:rFonts w:hint="eastAsia" w:ascii="仿宋" w:hAnsi="仿宋" w:eastAsia="仿宋"/>
          <w:kern w:val="2"/>
          <w:sz w:val="32"/>
          <w:szCs w:val="32"/>
        </w:rPr>
        <w:t>攀枝花市信访局属于市本级财政一级预算行政单位， 内设有网信办理科、来访和督查督办科、办公室3个机构，局下属非独立核算事业单位1个（攀枝花市群众工作服务中心）。</w:t>
      </w:r>
    </w:p>
    <w:p>
      <w:pPr>
        <w:pStyle w:val="2"/>
        <w:adjustRightInd w:val="0"/>
        <w:snapToGrid w:val="0"/>
        <w:spacing w:before="93" w:line="600" w:lineRule="exact"/>
        <w:ind w:firstLine="640" w:firstLineChars="200"/>
        <w:rPr>
          <w:rFonts w:ascii="仿宋" w:hAnsi="仿宋" w:eastAsia="仿宋"/>
          <w:sz w:val="32"/>
          <w:szCs w:val="32"/>
        </w:rPr>
      </w:pPr>
      <w:r>
        <w:rPr>
          <w:rFonts w:hint="eastAsia" w:ascii="仿宋" w:hAnsi="仿宋" w:eastAsia="仿宋"/>
          <w:sz w:val="32"/>
          <w:szCs w:val="32"/>
        </w:rPr>
        <w:t>纳入攀枝花市信访局2022年度部门决算编制范围的二级预算单位：无。</w:t>
      </w:r>
    </w:p>
    <w:p>
      <w:pPr>
        <w:widowControl/>
        <w:spacing w:line="600" w:lineRule="exact"/>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30"/>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30"/>
          <w:rFonts w:hint="eastAsia" w:ascii="黑体" w:hAnsi="黑体" w:eastAsia="黑体"/>
          <w:b w:val="0"/>
          <w:bCs/>
        </w:rPr>
        <w:t>部门决算情况说明</w:t>
      </w:r>
      <w:bookmarkEnd w:id="16"/>
      <w:bookmarkEnd w:id="17"/>
    </w:p>
    <w:p/>
    <w:p>
      <w:pPr>
        <w:pStyle w:val="29"/>
        <w:numPr>
          <w:ilvl w:val="0"/>
          <w:numId w:val="2"/>
        </w:numPr>
        <w:spacing w:line="540" w:lineRule="exact"/>
        <w:ind w:firstLineChars="0"/>
        <w:outlineLvl w:val="1"/>
        <w:rPr>
          <w:rStyle w:val="31"/>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31"/>
          <w:rFonts w:hint="eastAsia" w:ascii="黑体" w:hAnsi="黑体" w:eastAsia="黑体"/>
          <w:b w:val="0"/>
        </w:rPr>
        <w:t>入支出决算总体情况说明</w:t>
      </w:r>
      <w:bookmarkEnd w:id="18"/>
      <w:bookmarkEnd w:id="19"/>
    </w:p>
    <w:p>
      <w:pPr>
        <w:spacing w:line="540" w:lineRule="exact"/>
        <w:ind w:firstLine="640" w:firstLineChars="200"/>
        <w:rPr>
          <w:rFonts w:ascii="仿宋" w:hAnsi="仿宋" w:eastAsia="仿宋"/>
          <w:sz w:val="32"/>
          <w:szCs w:val="32"/>
        </w:rPr>
      </w:pPr>
      <w:r>
        <w:rPr>
          <w:rFonts w:hint="eastAsia" w:ascii="仿宋" w:hAnsi="仿宋" w:eastAsia="仿宋"/>
          <w:sz w:val="32"/>
          <w:szCs w:val="32"/>
        </w:rPr>
        <w:t>2022年度收入总计452.95万元。与2021年相比，收入总计增加12.36万元，增长2.81</w:t>
      </w:r>
      <w:r>
        <w:rPr>
          <w:rFonts w:ascii="仿宋" w:hAnsi="仿宋" w:eastAsia="仿宋"/>
          <w:sz w:val="32"/>
          <w:szCs w:val="32"/>
        </w:rPr>
        <w:t>%</w:t>
      </w:r>
      <w:r>
        <w:rPr>
          <w:rFonts w:hint="eastAsia" w:ascii="仿宋" w:hAnsi="仿宋" w:eastAsia="仿宋"/>
          <w:sz w:val="32"/>
          <w:szCs w:val="32"/>
        </w:rPr>
        <w:t>；支出总计452.95万元。与2021年相比，支出总计增加12.36万元，增长2.81</w:t>
      </w:r>
      <w:r>
        <w:rPr>
          <w:rFonts w:ascii="仿宋" w:hAnsi="仿宋" w:eastAsia="仿宋"/>
          <w:sz w:val="32"/>
          <w:szCs w:val="32"/>
        </w:rPr>
        <w:t>%</w:t>
      </w:r>
      <w:r>
        <w:rPr>
          <w:rFonts w:hint="eastAsia" w:ascii="仿宋" w:hAnsi="仿宋" w:eastAsia="仿宋"/>
          <w:sz w:val="32"/>
          <w:szCs w:val="32"/>
        </w:rPr>
        <w:t>。主要变动原因是人员经费增加。</w:t>
      </w:r>
    </w:p>
    <w:p>
      <w:pPr>
        <w:pStyle w:val="2"/>
        <w:spacing w:before="93"/>
      </w:pPr>
      <w:r>
        <w:drawing>
          <wp:inline distT="0" distB="0" distL="0" distR="0">
            <wp:extent cx="5366385" cy="2056765"/>
            <wp:effectExtent l="0" t="0" r="24765" b="1968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240" w:lineRule="atLeast"/>
        <w:ind w:firstLine="420" w:firstLineChars="200"/>
        <w:jc w:val="center"/>
        <w:rPr>
          <w:rFonts w:ascii="仿宋" w:hAnsi="仿宋" w:eastAsia="仿宋"/>
          <w:szCs w:val="21"/>
        </w:rPr>
      </w:pPr>
      <w:r>
        <w:rPr>
          <w:rFonts w:hint="eastAsia" w:ascii="仿宋" w:hAnsi="仿宋" w:eastAsia="仿宋"/>
          <w:szCs w:val="21"/>
        </w:rPr>
        <w:t>（图</w:t>
      </w:r>
      <w:r>
        <w:rPr>
          <w:rFonts w:ascii="仿宋" w:hAnsi="仿宋" w:eastAsia="仿宋"/>
          <w:szCs w:val="21"/>
        </w:rPr>
        <w:t>1</w:t>
      </w:r>
      <w:r>
        <w:rPr>
          <w:rFonts w:hint="eastAsia" w:ascii="仿宋" w:hAnsi="仿宋" w:eastAsia="仿宋"/>
          <w:szCs w:val="21"/>
        </w:rPr>
        <w:t>：收、支决算总计变动情况图）（柱状图）</w:t>
      </w:r>
    </w:p>
    <w:p>
      <w:pPr>
        <w:pStyle w:val="29"/>
        <w:numPr>
          <w:ilvl w:val="0"/>
          <w:numId w:val="2"/>
        </w:numPr>
        <w:spacing w:line="540" w:lineRule="exact"/>
        <w:ind w:firstLineChars="0"/>
        <w:outlineLvl w:val="1"/>
        <w:rPr>
          <w:rStyle w:val="31"/>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31"/>
          <w:rFonts w:hint="eastAsia" w:ascii="黑体" w:hAnsi="黑体" w:eastAsia="黑体"/>
          <w:b w:val="0"/>
        </w:rPr>
        <w:t>入决算情况说明</w:t>
      </w:r>
      <w:bookmarkEnd w:id="20"/>
      <w:bookmarkEnd w:id="21"/>
    </w:p>
    <w:p>
      <w:pPr>
        <w:spacing w:line="54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22年本年收入合计436.35万元，其中：一般公共预算财政拨款收入436.35万元，占100</w:t>
      </w:r>
      <w:r>
        <w:rPr>
          <w:rFonts w:ascii="仿宋" w:hAnsi="仿宋" w:eastAsia="仿宋"/>
          <w:sz w:val="32"/>
          <w:szCs w:val="32"/>
        </w:rPr>
        <w:t>%</w:t>
      </w:r>
      <w:r>
        <w:rPr>
          <w:rFonts w:hint="eastAsia" w:ascii="仿宋" w:hAnsi="仿宋" w:eastAsia="仿宋"/>
          <w:sz w:val="32"/>
          <w:szCs w:val="32"/>
        </w:rPr>
        <w:t>。</w:t>
      </w:r>
    </w:p>
    <w:p>
      <w:pPr>
        <w:pStyle w:val="2"/>
        <w:spacing w:before="93"/>
      </w:pPr>
      <w:r>
        <w:drawing>
          <wp:inline distT="0" distB="0" distL="0" distR="0">
            <wp:extent cx="5264150" cy="2187575"/>
            <wp:effectExtent l="4445" t="4445" r="8255" b="177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240" w:lineRule="atLeast"/>
        <w:ind w:firstLine="420" w:firstLineChars="200"/>
        <w:jc w:val="center"/>
        <w:rPr>
          <w:rFonts w:ascii="仿宋" w:hAnsi="仿宋" w:eastAsia="仿宋"/>
          <w:szCs w:val="21"/>
        </w:rPr>
      </w:pPr>
      <w:r>
        <w:rPr>
          <w:rFonts w:hint="eastAsia" w:ascii="仿宋" w:hAnsi="仿宋" w:eastAsia="仿宋"/>
          <w:szCs w:val="21"/>
        </w:rPr>
        <w:t>（图2：收入决算结构图）（饼状图）</w:t>
      </w:r>
    </w:p>
    <w:p>
      <w:pPr>
        <w:spacing w:line="600" w:lineRule="exact"/>
        <w:ind w:firstLine="640" w:firstLineChars="200"/>
        <w:rPr>
          <w:rFonts w:ascii="仿宋_GB2312" w:eastAsia="仿宋_GB2312"/>
          <w:sz w:val="32"/>
          <w:szCs w:val="32"/>
        </w:rPr>
      </w:pPr>
    </w:p>
    <w:p>
      <w:pPr>
        <w:pStyle w:val="29"/>
        <w:numPr>
          <w:ilvl w:val="0"/>
          <w:numId w:val="2"/>
        </w:numPr>
        <w:spacing w:line="540" w:lineRule="exact"/>
        <w:ind w:firstLineChars="0"/>
        <w:outlineLvl w:val="1"/>
        <w:rPr>
          <w:rStyle w:val="31"/>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31"/>
          <w:rFonts w:hint="eastAsia" w:ascii="黑体" w:hAnsi="黑体" w:eastAsia="黑体"/>
          <w:b w:val="0"/>
        </w:rPr>
        <w:t>出决算情况说明</w:t>
      </w:r>
      <w:bookmarkEnd w:id="22"/>
      <w:bookmarkEnd w:id="23"/>
    </w:p>
    <w:p>
      <w:pPr>
        <w:spacing w:line="54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22年本年支出合计452.95万元，其中：基本支出404.63万元，占78.00</w:t>
      </w:r>
      <w:r>
        <w:rPr>
          <w:rFonts w:ascii="仿宋" w:hAnsi="仿宋" w:eastAsia="仿宋"/>
          <w:sz w:val="32"/>
          <w:szCs w:val="32"/>
        </w:rPr>
        <w:t>%</w:t>
      </w:r>
      <w:r>
        <w:rPr>
          <w:rFonts w:hint="eastAsia" w:ascii="仿宋" w:hAnsi="仿宋" w:eastAsia="仿宋"/>
          <w:sz w:val="32"/>
          <w:szCs w:val="32"/>
        </w:rPr>
        <w:t>；项目支出48.32万元，占22.00</w:t>
      </w:r>
      <w:r>
        <w:rPr>
          <w:rFonts w:ascii="仿宋" w:hAnsi="仿宋" w:eastAsia="仿宋"/>
          <w:sz w:val="32"/>
          <w:szCs w:val="32"/>
        </w:rPr>
        <w:t>%</w:t>
      </w:r>
      <w:r>
        <w:rPr>
          <w:rFonts w:hint="eastAsia" w:ascii="仿宋" w:hAnsi="仿宋" w:eastAsia="仿宋"/>
          <w:sz w:val="32"/>
          <w:szCs w:val="32"/>
        </w:rPr>
        <w:t>。</w:t>
      </w:r>
    </w:p>
    <w:p>
      <w:pPr>
        <w:pStyle w:val="2"/>
        <w:spacing w:before="93"/>
      </w:pPr>
      <w:r>
        <w:drawing>
          <wp:inline distT="0" distB="0" distL="0" distR="0">
            <wp:extent cx="5322570" cy="2339975"/>
            <wp:effectExtent l="0" t="0" r="11430" b="222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240" w:lineRule="atLeast"/>
        <w:ind w:firstLine="420" w:firstLineChars="200"/>
        <w:jc w:val="center"/>
        <w:rPr>
          <w:rFonts w:ascii="仿宋_GB2312" w:eastAsia="仿宋_GB2312"/>
          <w:sz w:val="32"/>
          <w:szCs w:val="32"/>
        </w:rPr>
      </w:pPr>
      <w:r>
        <w:rPr>
          <w:rFonts w:hint="eastAsia" w:ascii="仿宋" w:hAnsi="仿宋" w:eastAsia="仿宋"/>
          <w:szCs w:val="21"/>
        </w:rPr>
        <w:t>（图3：支出决算结构图）（饼状图）</w:t>
      </w:r>
    </w:p>
    <w:p>
      <w:pPr>
        <w:spacing w:line="540" w:lineRule="exact"/>
        <w:ind w:firstLine="640" w:firstLineChars="200"/>
        <w:outlineLvl w:val="1"/>
        <w:rPr>
          <w:rStyle w:val="31"/>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24"/>
      <w:bookmarkEnd w:id="25"/>
    </w:p>
    <w:p>
      <w:pPr>
        <w:spacing w:line="54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22年财政拨款收入总计436.35万元。与2021年相比，财政拨款收入总计增加0.53万元，增长0.12%；财政拨款支出总计452.95万元。与2021年相比，财政拨款支出总计增加12.36万元，增长2.81%。主要变动原因是人员经费增加。</w:t>
      </w:r>
    </w:p>
    <w:p>
      <w:pPr>
        <w:pStyle w:val="2"/>
        <w:spacing w:before="93"/>
        <w:jc w:val="center"/>
        <w:rPr>
          <w:rFonts w:ascii="仿宋" w:hAnsi="仿宋" w:eastAsia="仿宋"/>
          <w:b/>
          <w:sz w:val="32"/>
          <w:szCs w:val="32"/>
        </w:rPr>
      </w:pPr>
      <w:r>
        <w:drawing>
          <wp:inline distT="0" distB="0" distL="0" distR="0">
            <wp:extent cx="5284470" cy="2404110"/>
            <wp:effectExtent l="0" t="0" r="11430" b="1524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ascii="仿宋" w:hAnsi="仿宋" w:eastAsia="仿宋"/>
          <w:sz w:val="21"/>
          <w:szCs w:val="21"/>
        </w:rPr>
        <w:t>（图4：财政拨款收、支决算总计变动情况）（柱状图）</w:t>
      </w:r>
    </w:p>
    <w:p>
      <w:pPr>
        <w:spacing w:line="540" w:lineRule="exact"/>
        <w:ind w:firstLine="640" w:firstLineChars="200"/>
        <w:outlineLvl w:val="1"/>
        <w:rPr>
          <w:rStyle w:val="31"/>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26"/>
      <w:bookmarkEnd w:id="27"/>
    </w:p>
    <w:p>
      <w:pPr>
        <w:spacing w:line="540" w:lineRule="exact"/>
        <w:ind w:firstLine="642"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54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22年一般公共预算财政拨款支出452.95万元，占本年支出合计的100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21年相比，一般公共预算财政拨款支出增加12.36万元，增长2.81</w:t>
      </w:r>
      <w:r>
        <w:rPr>
          <w:rFonts w:ascii="仿宋" w:hAnsi="仿宋" w:eastAsia="仿宋"/>
          <w:sz w:val="32"/>
          <w:szCs w:val="32"/>
        </w:rPr>
        <w:t>%</w:t>
      </w:r>
      <w:r>
        <w:rPr>
          <w:rFonts w:hint="eastAsia" w:ascii="仿宋" w:hAnsi="仿宋" w:eastAsia="仿宋"/>
          <w:sz w:val="32"/>
          <w:szCs w:val="32"/>
        </w:rPr>
        <w:t>。主要变动原因是人员经费增加。</w:t>
      </w:r>
    </w:p>
    <w:p>
      <w:pPr>
        <w:pStyle w:val="2"/>
        <w:spacing w:before="93"/>
      </w:pPr>
      <w:r>
        <w:drawing>
          <wp:inline distT="0" distB="0" distL="0" distR="0">
            <wp:extent cx="5273675" cy="2133600"/>
            <wp:effectExtent l="0" t="0" r="2222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240" w:lineRule="atLeast"/>
        <w:ind w:firstLine="420" w:firstLineChars="200"/>
        <w:jc w:val="center"/>
        <w:rPr>
          <w:rFonts w:ascii="仿宋" w:hAnsi="仿宋" w:eastAsia="仿宋"/>
          <w:sz w:val="32"/>
          <w:szCs w:val="32"/>
        </w:rPr>
      </w:pPr>
      <w:r>
        <w:rPr>
          <w:rFonts w:hint="eastAsia" w:ascii="仿宋" w:hAnsi="仿宋" w:eastAsia="仿宋"/>
          <w:szCs w:val="21"/>
        </w:rPr>
        <w:t>（图5：一般公共预算财政拨款支出决算变动情况）（柱状图）</w:t>
      </w:r>
    </w:p>
    <w:p>
      <w:pPr>
        <w:spacing w:line="540" w:lineRule="exact"/>
        <w:ind w:firstLine="642"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54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22年一般公共预算财政拨款支出452.95万元，主要用于以下方面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374.71万元，占82.79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46.64万元，占10.31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31.6万元，占6.98</w:t>
      </w:r>
      <w:r>
        <w:rPr>
          <w:rFonts w:ascii="仿宋" w:hAnsi="仿宋" w:eastAsia="仿宋"/>
          <w:sz w:val="32"/>
          <w:szCs w:val="32"/>
        </w:rPr>
        <w:t>%</w:t>
      </w:r>
      <w:r>
        <w:rPr>
          <w:rFonts w:hint="eastAsia" w:ascii="仿宋" w:hAnsi="仿宋" w:eastAsia="仿宋"/>
          <w:sz w:val="32"/>
          <w:szCs w:val="32"/>
        </w:rPr>
        <w:t>。</w:t>
      </w:r>
    </w:p>
    <w:p>
      <w:pPr>
        <w:pStyle w:val="2"/>
        <w:spacing w:before="93"/>
      </w:pPr>
      <w:r>
        <w:drawing>
          <wp:inline distT="0" distB="0" distL="0" distR="0">
            <wp:extent cx="5344795" cy="2183130"/>
            <wp:effectExtent l="4445" t="4445" r="22860" b="222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240" w:lineRule="atLeast"/>
        <w:ind w:firstLine="420" w:firstLineChars="200"/>
        <w:jc w:val="center"/>
        <w:rPr>
          <w:rFonts w:ascii="仿宋" w:hAnsi="仿宋" w:eastAsia="仿宋"/>
          <w:szCs w:val="21"/>
        </w:rPr>
      </w:pPr>
      <w:r>
        <w:rPr>
          <w:rFonts w:hint="eastAsia" w:ascii="仿宋" w:hAnsi="仿宋" w:eastAsia="仿宋"/>
          <w:szCs w:val="21"/>
        </w:rPr>
        <w:t>（图6：一般公共预算财政拨款支出决算结构）（饼状图）</w:t>
      </w:r>
    </w:p>
    <w:p>
      <w:pPr>
        <w:spacing w:line="600" w:lineRule="exact"/>
        <w:ind w:firstLine="640" w:firstLineChars="200"/>
        <w:rPr>
          <w:rFonts w:ascii="仿宋" w:hAnsi="仿宋" w:eastAsia="仿宋"/>
          <w:sz w:val="32"/>
          <w:szCs w:val="32"/>
        </w:rPr>
      </w:pPr>
    </w:p>
    <w:p>
      <w:pPr>
        <w:spacing w:line="540" w:lineRule="exact"/>
        <w:ind w:firstLine="642"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540" w:lineRule="exact"/>
        <w:ind w:firstLine="642" w:firstLineChars="200"/>
        <w:outlineLvl w:val="2"/>
        <w:rPr>
          <w:rFonts w:ascii="仿宋" w:hAnsi="仿宋" w:eastAsia="仿宋"/>
          <w:sz w:val="32"/>
          <w:szCs w:val="32"/>
        </w:rPr>
      </w:pPr>
      <w:bookmarkStart w:id="31" w:name="_Toc15377444"/>
      <w:bookmarkStart w:id="32" w:name="_Toc15378460"/>
      <w:bookmarkStart w:id="33" w:name="_Toc15377213"/>
      <w:r>
        <w:rPr>
          <w:rFonts w:hint="eastAsia" w:ascii="仿宋" w:hAnsi="仿宋" w:eastAsia="仿宋"/>
          <w:b/>
          <w:sz w:val="32"/>
          <w:szCs w:val="32"/>
        </w:rPr>
        <w:t>2022年一般公共预算支出决算数为452.95</w:t>
      </w:r>
      <w:r>
        <w:rPr>
          <w:rFonts w:hint="eastAsia" w:ascii="仿宋" w:hAnsi="仿宋" w:eastAsia="仿宋"/>
          <w:sz w:val="32"/>
          <w:szCs w:val="32"/>
        </w:rPr>
        <w:t>，</w:t>
      </w:r>
      <w:r>
        <w:rPr>
          <w:rStyle w:val="18"/>
          <w:rFonts w:hint="eastAsia" w:ascii="仿宋" w:hAnsi="仿宋" w:eastAsia="仿宋"/>
          <w:bCs/>
          <w:sz w:val="32"/>
          <w:szCs w:val="32"/>
        </w:rPr>
        <w:t>完成预算126.6</w:t>
      </w:r>
      <w:r>
        <w:rPr>
          <w:rStyle w:val="18"/>
          <w:rFonts w:ascii="仿宋" w:hAnsi="仿宋" w:eastAsia="仿宋"/>
          <w:bCs/>
          <w:sz w:val="32"/>
          <w:szCs w:val="32"/>
        </w:rPr>
        <w:t>%</w:t>
      </w:r>
      <w:r>
        <w:rPr>
          <w:rStyle w:val="18"/>
          <w:rFonts w:hint="eastAsia" w:ascii="仿宋" w:hAnsi="仿宋" w:eastAsia="仿宋"/>
          <w:bCs/>
          <w:sz w:val="32"/>
          <w:szCs w:val="32"/>
        </w:rPr>
        <w:t>。其中：</w:t>
      </w:r>
      <w:bookmarkEnd w:id="31"/>
      <w:bookmarkEnd w:id="32"/>
      <w:bookmarkEnd w:id="33"/>
    </w:p>
    <w:p>
      <w:pPr>
        <w:spacing w:line="540" w:lineRule="exact"/>
        <w:ind w:firstLine="642" w:firstLineChars="200"/>
        <w:rPr>
          <w:rStyle w:val="18"/>
          <w:rFonts w:ascii="仿宋" w:hAnsi="仿宋" w:eastAsia="仿宋"/>
          <w:bCs/>
          <w:sz w:val="32"/>
          <w:szCs w:val="32"/>
        </w:rPr>
      </w:pPr>
      <w:r>
        <w:rPr>
          <w:rStyle w:val="18"/>
          <w:rFonts w:hint="eastAsia" w:ascii="仿宋" w:hAnsi="仿宋" w:eastAsia="仿宋"/>
          <w:bCs/>
          <w:sz w:val="32"/>
          <w:szCs w:val="32"/>
        </w:rPr>
        <w:t>1. 一般公共服务（类）政协事务（款）行政运行（项）、事业运行（项）</w:t>
      </w:r>
      <w:r>
        <w:rPr>
          <w:rStyle w:val="18"/>
          <w:rFonts w:ascii="仿宋" w:hAnsi="仿宋" w:eastAsia="仿宋"/>
          <w:bCs/>
          <w:sz w:val="32"/>
          <w:szCs w:val="32"/>
        </w:rPr>
        <w:t>:</w:t>
      </w:r>
      <w:r>
        <w:rPr>
          <w:rStyle w:val="18"/>
          <w:rFonts w:hint="eastAsia" w:ascii="仿宋" w:hAnsi="仿宋" w:eastAsia="仿宋"/>
          <w:b w:val="0"/>
          <w:bCs/>
          <w:sz w:val="32"/>
          <w:szCs w:val="32"/>
        </w:rPr>
        <w:t xml:space="preserve"> 支出决算为12.19万元，完成预算26.8</w:t>
      </w:r>
      <w:r>
        <w:rPr>
          <w:rStyle w:val="18"/>
          <w:rFonts w:ascii="仿宋" w:hAnsi="仿宋" w:eastAsia="仿宋"/>
          <w:b w:val="0"/>
          <w:bCs/>
          <w:sz w:val="32"/>
          <w:szCs w:val="32"/>
        </w:rPr>
        <w:t>%</w:t>
      </w:r>
      <w:r>
        <w:rPr>
          <w:rStyle w:val="18"/>
          <w:rFonts w:hint="eastAsia" w:ascii="仿宋" w:hAnsi="仿宋" w:eastAsia="仿宋"/>
          <w:b w:val="0"/>
          <w:bCs/>
          <w:sz w:val="32"/>
          <w:szCs w:val="32"/>
        </w:rPr>
        <w:t>，决算数小于预算数的主要原因是财政支出调控。</w:t>
      </w:r>
    </w:p>
    <w:p>
      <w:pPr>
        <w:spacing w:line="540" w:lineRule="exact"/>
        <w:ind w:firstLine="642" w:firstLineChars="200"/>
        <w:rPr>
          <w:rStyle w:val="18"/>
          <w:rFonts w:ascii="仿宋" w:hAnsi="仿宋" w:eastAsia="仿宋"/>
          <w:b w:val="0"/>
          <w:bCs/>
          <w:sz w:val="32"/>
          <w:szCs w:val="32"/>
        </w:rPr>
      </w:pPr>
      <w:r>
        <w:rPr>
          <w:rStyle w:val="18"/>
          <w:rFonts w:hint="eastAsia" w:ascii="仿宋" w:hAnsi="仿宋" w:eastAsia="仿宋"/>
          <w:bCs/>
          <w:sz w:val="32"/>
          <w:szCs w:val="32"/>
        </w:rPr>
        <w:t>2</w:t>
      </w:r>
      <w:r>
        <w:rPr>
          <w:rStyle w:val="18"/>
          <w:rFonts w:ascii="仿宋" w:hAnsi="仿宋" w:eastAsia="仿宋"/>
          <w:bCs/>
          <w:sz w:val="32"/>
          <w:szCs w:val="32"/>
        </w:rPr>
        <w:t>.</w:t>
      </w:r>
      <w:r>
        <w:rPr>
          <w:rStyle w:val="18"/>
          <w:rFonts w:hint="eastAsia" w:ascii="仿宋" w:hAnsi="仿宋" w:eastAsia="仿宋"/>
          <w:bCs/>
          <w:sz w:val="32"/>
          <w:szCs w:val="32"/>
        </w:rPr>
        <w:t>一般公共服务（类）政府办公厅（室）及相关机构事务（款）行政运行（项）、信访事务（项）、事业运行（项）、一般行政管理事务（项）、其他政府办公厅（室）及相关机构事务支出（项）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支出决算为360.79万元，完成预算146.2</w:t>
      </w:r>
      <w:r>
        <w:rPr>
          <w:rStyle w:val="18"/>
          <w:rFonts w:ascii="仿宋" w:hAnsi="仿宋" w:eastAsia="仿宋"/>
          <w:b w:val="0"/>
          <w:bCs/>
          <w:sz w:val="32"/>
          <w:szCs w:val="32"/>
        </w:rPr>
        <w:t>%</w:t>
      </w:r>
      <w:r>
        <w:rPr>
          <w:rStyle w:val="18"/>
          <w:rFonts w:hint="eastAsia" w:ascii="仿宋" w:hAnsi="仿宋" w:eastAsia="仿宋"/>
          <w:b w:val="0"/>
          <w:bCs/>
          <w:sz w:val="32"/>
          <w:szCs w:val="32"/>
        </w:rPr>
        <w:t>，决算数大于预算数的主要原因是2022年预算执行中追加了项目预算，相应增加支出。</w:t>
      </w:r>
    </w:p>
    <w:p>
      <w:pPr>
        <w:spacing w:line="540" w:lineRule="exact"/>
        <w:ind w:firstLine="642" w:firstLineChars="200"/>
        <w:rPr>
          <w:rFonts w:ascii="仿宋" w:hAnsi="仿宋" w:eastAsia="仿宋"/>
          <w:b/>
          <w:sz w:val="32"/>
          <w:szCs w:val="32"/>
        </w:rPr>
      </w:pPr>
      <w:r>
        <w:rPr>
          <w:rStyle w:val="18"/>
          <w:rFonts w:hint="eastAsia" w:ascii="仿宋" w:hAnsi="仿宋" w:eastAsia="仿宋"/>
          <w:bCs/>
          <w:sz w:val="32"/>
          <w:szCs w:val="32"/>
        </w:rPr>
        <w:t>3</w:t>
      </w:r>
      <w:r>
        <w:rPr>
          <w:rStyle w:val="18"/>
          <w:rFonts w:ascii="仿宋" w:hAnsi="仿宋" w:eastAsia="仿宋"/>
          <w:bCs/>
          <w:sz w:val="32"/>
          <w:szCs w:val="32"/>
        </w:rPr>
        <w:t>.</w:t>
      </w:r>
      <w:r>
        <w:rPr>
          <w:rStyle w:val="18"/>
          <w:rFonts w:hint="eastAsia" w:ascii="仿宋" w:hAnsi="仿宋" w:eastAsia="仿宋"/>
          <w:bCs/>
          <w:sz w:val="32"/>
          <w:szCs w:val="32"/>
        </w:rPr>
        <w:t>社会保障和就业（类）行政事业单位离退休（款）行政单位离退休（项）、机关事业单位基本养老保险缴费支出（项）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支出决算为46.24万元，完成预算132.4</w:t>
      </w:r>
      <w:r>
        <w:rPr>
          <w:rStyle w:val="18"/>
          <w:rFonts w:ascii="仿宋" w:hAnsi="仿宋" w:eastAsia="仿宋"/>
          <w:b w:val="0"/>
          <w:bCs/>
          <w:sz w:val="32"/>
          <w:szCs w:val="32"/>
        </w:rPr>
        <w:t>%</w:t>
      </w:r>
      <w:r>
        <w:rPr>
          <w:rStyle w:val="18"/>
          <w:rFonts w:hint="eastAsia" w:ascii="仿宋" w:hAnsi="仿宋" w:eastAsia="仿宋"/>
          <w:b w:val="0"/>
          <w:bCs/>
          <w:sz w:val="32"/>
          <w:szCs w:val="32"/>
        </w:rPr>
        <w:t>，决算数大于预算数的主要原因是2022年预算执行中追加了项目预算，相应增加支出。</w:t>
      </w:r>
    </w:p>
    <w:p>
      <w:pPr>
        <w:spacing w:line="540" w:lineRule="exact"/>
        <w:ind w:firstLine="642" w:firstLineChars="200"/>
        <w:rPr>
          <w:rFonts w:ascii="仿宋" w:hAnsi="仿宋" w:eastAsia="仿宋"/>
          <w:b/>
          <w:sz w:val="32"/>
          <w:szCs w:val="32"/>
        </w:rPr>
      </w:pPr>
      <w:r>
        <w:rPr>
          <w:rStyle w:val="18"/>
          <w:rFonts w:hint="eastAsia" w:ascii="仿宋" w:hAnsi="仿宋" w:eastAsia="仿宋"/>
          <w:bCs/>
          <w:sz w:val="32"/>
          <w:szCs w:val="32"/>
        </w:rPr>
        <w:t>4</w:t>
      </w:r>
      <w:r>
        <w:rPr>
          <w:rStyle w:val="18"/>
          <w:rFonts w:ascii="仿宋" w:hAnsi="仿宋" w:eastAsia="仿宋"/>
          <w:bCs/>
          <w:sz w:val="32"/>
          <w:szCs w:val="32"/>
        </w:rPr>
        <w:t>.</w:t>
      </w:r>
      <w:r>
        <w:rPr>
          <w:rFonts w:hint="eastAsia" w:ascii="仿宋" w:hAnsi="仿宋" w:eastAsia="仿宋"/>
          <w:b/>
          <w:bCs/>
          <w:sz w:val="32"/>
          <w:szCs w:val="32"/>
        </w:rPr>
        <w:t>住房保障（类）住房改革支出（款）住房公积金（项）</w:t>
      </w:r>
      <w:r>
        <w:rPr>
          <w:rStyle w:val="18"/>
          <w:rFonts w:ascii="仿宋" w:hAnsi="仿宋" w:eastAsia="仿宋"/>
          <w:bCs/>
          <w:sz w:val="32"/>
          <w:szCs w:val="32"/>
        </w:rPr>
        <w:t>:</w:t>
      </w:r>
      <w:r>
        <w:rPr>
          <w:rStyle w:val="18"/>
          <w:rFonts w:hint="eastAsia" w:ascii="仿宋" w:hAnsi="仿宋" w:eastAsia="仿宋"/>
          <w:b w:val="0"/>
          <w:bCs/>
          <w:sz w:val="32"/>
          <w:szCs w:val="32"/>
        </w:rPr>
        <w:t>支出决算为31.60万元，完成预算103.7</w:t>
      </w:r>
      <w:r>
        <w:rPr>
          <w:rStyle w:val="18"/>
          <w:rFonts w:ascii="仿宋" w:hAnsi="仿宋" w:eastAsia="仿宋"/>
          <w:b w:val="0"/>
          <w:bCs/>
          <w:sz w:val="32"/>
          <w:szCs w:val="32"/>
        </w:rPr>
        <w:t>%</w:t>
      </w:r>
      <w:r>
        <w:rPr>
          <w:rStyle w:val="18"/>
          <w:rFonts w:hint="eastAsia" w:ascii="仿宋" w:hAnsi="仿宋" w:eastAsia="仿宋"/>
          <w:b w:val="0"/>
          <w:bCs/>
          <w:sz w:val="32"/>
          <w:szCs w:val="32"/>
        </w:rPr>
        <w:t>，决算数大于预算数的主要原因是2022年预算执行中追加了项目预算，相应增加支出。</w:t>
      </w:r>
    </w:p>
    <w:p>
      <w:pPr>
        <w:tabs>
          <w:tab w:val="right" w:pos="8306"/>
        </w:tabs>
        <w:spacing w:line="600" w:lineRule="exact"/>
        <w:ind w:firstLine="640"/>
        <w:outlineLvl w:val="1"/>
        <w:rPr>
          <w:rStyle w:val="31"/>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34"/>
      <w:bookmarkEnd w:id="35"/>
      <w:r>
        <w:rPr>
          <w:rStyle w:val="31"/>
          <w:rFonts w:ascii="黑体" w:hAnsi="黑体" w:eastAsia="黑体"/>
          <w:b w:val="0"/>
        </w:rPr>
        <w:tab/>
      </w:r>
    </w:p>
    <w:p>
      <w:pPr>
        <w:spacing w:line="54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22年一般公共预算财政拨款基本支出452.95万元，其中：</w:t>
      </w:r>
    </w:p>
    <w:p>
      <w:pPr>
        <w:spacing w:line="540" w:lineRule="exact"/>
        <w:ind w:firstLine="646"/>
        <w:rPr>
          <w:rFonts w:ascii="仿宋" w:hAnsi="仿宋" w:eastAsia="仿宋"/>
          <w:b/>
          <w:sz w:val="32"/>
          <w:szCs w:val="32"/>
        </w:rPr>
      </w:pPr>
      <w:r>
        <w:rPr>
          <w:rFonts w:hint="eastAsia" w:ascii="仿宋" w:hAnsi="仿宋" w:eastAsia="仿宋"/>
          <w:sz w:val="32"/>
          <w:szCs w:val="32"/>
        </w:rPr>
        <w:t>人员经费372.99万元，主要包括：基本工资、津贴补贴、奖金、伙食补助费、绩效工资、机关事业单位基本养老保险缴费、职业年金缴费、其他社会保障缴费、其他工资福利支出、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31.64万元，主要包括：办公费、印刷费、咨询费、手续费、水费、电费、邮电费、物业管理费、差旅费、维修（护）费、租赁费、会议费、培训费、公务接待费、劳务费、委托业务费、工会经费、福利费、公务用车运行维护费、其他交通费、其他商品和服务支出、办公设备购置、专用设备购置、信息网络及软件购置更新等。</w:t>
      </w:r>
    </w:p>
    <w:p>
      <w:pPr>
        <w:spacing w:line="540" w:lineRule="exact"/>
        <w:ind w:firstLine="640"/>
        <w:outlineLvl w:val="1"/>
        <w:rPr>
          <w:rStyle w:val="31"/>
          <w:rFonts w:ascii="黑体" w:hAnsi="黑体" w:eastAsia="黑体"/>
          <w:b w:val="0"/>
        </w:rPr>
      </w:pPr>
      <w:bookmarkStart w:id="36" w:name="_Toc15377215"/>
      <w:bookmarkStart w:id="37" w:name="_Toc15396609"/>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36"/>
      <w:bookmarkEnd w:id="37"/>
    </w:p>
    <w:p>
      <w:pPr>
        <w:spacing w:line="54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54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22年“三公”经费财政拨款支出决算为1.31万元，完成预算59.82</w:t>
      </w:r>
      <w:r>
        <w:rPr>
          <w:rFonts w:ascii="仿宋" w:hAnsi="仿宋" w:eastAsia="仿宋"/>
          <w:sz w:val="32"/>
          <w:szCs w:val="32"/>
        </w:rPr>
        <w:t>%</w:t>
      </w:r>
      <w:r>
        <w:rPr>
          <w:rFonts w:hint="eastAsia" w:ascii="仿宋" w:hAnsi="仿宋" w:eastAsia="仿宋"/>
          <w:sz w:val="32"/>
          <w:szCs w:val="32"/>
        </w:rPr>
        <w:t>，较上年减少0.27万元，下降17.09%。决算数小于预算数的主要原因是“三公”经费压缩、财政支出调控以及新冠疫情影响。</w:t>
      </w:r>
    </w:p>
    <w:p>
      <w:pPr>
        <w:spacing w:line="54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54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；公务用车购置及运行维护费支出决算1.31万元，占100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pStyle w:val="2"/>
        <w:spacing w:before="93"/>
      </w:pPr>
      <w:r>
        <w:drawing>
          <wp:inline distT="0" distB="0" distL="0" distR="0">
            <wp:extent cx="5290185" cy="2465070"/>
            <wp:effectExtent l="0" t="0" r="24765" b="1143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240" w:lineRule="atLeast"/>
        <w:ind w:firstLine="641"/>
        <w:jc w:val="center"/>
        <w:rPr>
          <w:rFonts w:ascii="仿宋" w:hAnsi="仿宋" w:eastAsia="仿宋"/>
          <w:szCs w:val="21"/>
        </w:rPr>
      </w:pPr>
      <w:r>
        <w:rPr>
          <w:rFonts w:hint="eastAsia" w:ascii="仿宋" w:hAnsi="仿宋" w:eastAsia="仿宋"/>
          <w:szCs w:val="21"/>
        </w:rPr>
        <w:t>（图7：“三公”经费财政拨款支出结构）（饼状图）</w:t>
      </w:r>
    </w:p>
    <w:p>
      <w:pPr>
        <w:spacing w:line="540" w:lineRule="exact"/>
        <w:ind w:firstLine="64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因公出国（境）经费支出</w:t>
      </w:r>
      <w:r>
        <w:rPr>
          <w:rFonts w:hint="eastAsia" w:ascii="仿宋" w:hAnsi="仿宋" w:eastAsia="仿宋"/>
          <w:sz w:val="32"/>
          <w:szCs w:val="32"/>
        </w:rPr>
        <w:t>0万元，</w:t>
      </w:r>
      <w:r>
        <w:rPr>
          <w:rStyle w:val="18"/>
          <w:rFonts w:hint="eastAsia" w:ascii="仿宋" w:hAnsi="仿宋" w:eastAsia="仿宋"/>
          <w:b w:val="0"/>
          <w:bCs/>
          <w:sz w:val="32"/>
          <w:szCs w:val="32"/>
        </w:rPr>
        <w:t>完成预算0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 w:hAnsi="仿宋" w:eastAsia="仿宋"/>
          <w:sz w:val="32"/>
          <w:szCs w:val="32"/>
        </w:rPr>
        <w:t>全年安排因公出国（境）团组0次，出国（境）0人。因公出国（境）支出决算与</w:t>
      </w:r>
      <w:r>
        <w:rPr>
          <w:rFonts w:ascii="仿宋" w:hAnsi="仿宋" w:eastAsia="仿宋"/>
          <w:sz w:val="32"/>
          <w:szCs w:val="32"/>
        </w:rPr>
        <w:t>20</w:t>
      </w:r>
      <w:r>
        <w:rPr>
          <w:rFonts w:hint="eastAsia" w:ascii="仿宋" w:hAnsi="仿宋" w:eastAsia="仿宋"/>
          <w:sz w:val="32"/>
          <w:szCs w:val="32"/>
        </w:rPr>
        <w:t>21年相比持平。</w:t>
      </w:r>
    </w:p>
    <w:p>
      <w:pPr>
        <w:spacing w:line="540" w:lineRule="exact"/>
        <w:ind w:firstLine="641"/>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公务用车购置及运行维护费支出</w:t>
      </w:r>
      <w:r>
        <w:rPr>
          <w:rFonts w:hint="eastAsia" w:ascii="仿宋" w:hAnsi="仿宋" w:eastAsia="仿宋"/>
          <w:sz w:val="32"/>
          <w:szCs w:val="32"/>
        </w:rPr>
        <w:t>1.31万元,</w:t>
      </w:r>
      <w:r>
        <w:rPr>
          <w:rStyle w:val="18"/>
          <w:rFonts w:hint="eastAsia" w:ascii="仿宋" w:hAnsi="仿宋" w:eastAsia="仿宋"/>
          <w:b w:val="0"/>
          <w:bCs/>
          <w:sz w:val="32"/>
          <w:szCs w:val="32"/>
        </w:rPr>
        <w:t>完成预算59.82</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 w:hAnsi="仿宋" w:eastAsia="仿宋"/>
          <w:sz w:val="32"/>
          <w:szCs w:val="32"/>
        </w:rPr>
        <w:t>公务用车购置及运行维护费支出决算比</w:t>
      </w:r>
      <w:r>
        <w:rPr>
          <w:rFonts w:ascii="仿宋" w:hAnsi="仿宋" w:eastAsia="仿宋"/>
          <w:sz w:val="32"/>
          <w:szCs w:val="32"/>
        </w:rPr>
        <w:t>20</w:t>
      </w:r>
      <w:r>
        <w:rPr>
          <w:rFonts w:hint="eastAsia" w:ascii="仿宋" w:hAnsi="仿宋" w:eastAsia="仿宋"/>
          <w:sz w:val="32"/>
          <w:szCs w:val="32"/>
        </w:rPr>
        <w:t>21年减少0.07万元，下降5.07</w:t>
      </w:r>
      <w:r>
        <w:rPr>
          <w:rFonts w:ascii="仿宋" w:hAnsi="仿宋" w:eastAsia="仿宋"/>
          <w:sz w:val="32"/>
          <w:szCs w:val="32"/>
        </w:rPr>
        <w:t>%</w:t>
      </w:r>
      <w:r>
        <w:rPr>
          <w:rFonts w:hint="eastAsia" w:ascii="仿宋" w:hAnsi="仿宋" w:eastAsia="仿宋"/>
          <w:sz w:val="32"/>
          <w:szCs w:val="32"/>
        </w:rPr>
        <w:t>。主要原因是“三公”经费压缩以及财政支出调控。</w:t>
      </w:r>
    </w:p>
    <w:p>
      <w:pPr>
        <w:spacing w:line="540" w:lineRule="exact"/>
        <w:ind w:firstLine="640" w:firstLineChars="200"/>
        <w:rPr>
          <w:rFonts w:ascii="仿宋" w:hAnsi="仿宋" w:eastAsia="仿宋"/>
          <w:b/>
          <w:sz w:val="32"/>
          <w:szCs w:val="32"/>
        </w:rPr>
      </w:pPr>
      <w:r>
        <w:rPr>
          <w:rFonts w:hint="eastAsia" w:ascii="仿宋" w:hAnsi="仿宋" w:eastAsia="仿宋"/>
          <w:sz w:val="32"/>
          <w:szCs w:val="32"/>
        </w:rPr>
        <w:t>其中：</w:t>
      </w:r>
      <w:r>
        <w:rPr>
          <w:rFonts w:hint="eastAsia" w:ascii="仿宋" w:hAnsi="仿宋" w:eastAsia="仿宋"/>
          <w:b/>
          <w:sz w:val="32"/>
          <w:szCs w:val="32"/>
        </w:rPr>
        <w:t>公务用车购置支出</w:t>
      </w:r>
      <w:r>
        <w:rPr>
          <w:rFonts w:hint="eastAsia" w:ascii="仿宋" w:hAnsi="仿宋" w:eastAsia="仿宋"/>
          <w:sz w:val="32"/>
          <w:szCs w:val="32"/>
        </w:rPr>
        <w:t>0万元。全年按规定更新购置公务用车0辆，其中：轿车0辆、金额0万元，越野车0辆、金额0万元，载客汽车0辆、金额0万元。截至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月底，单位共有公务用车1辆，其中：轿车1辆、越野车0辆、载客汽车0辆。</w:t>
      </w:r>
    </w:p>
    <w:p>
      <w:pPr>
        <w:spacing w:line="540" w:lineRule="exact"/>
        <w:ind w:firstLine="640"/>
        <w:rPr>
          <w:rFonts w:ascii="仿宋" w:hAnsi="仿宋" w:eastAsia="仿宋"/>
          <w:sz w:val="32"/>
          <w:szCs w:val="32"/>
        </w:rPr>
      </w:pPr>
      <w:r>
        <w:rPr>
          <w:rFonts w:hint="eastAsia" w:ascii="仿宋" w:hAnsi="仿宋" w:eastAsia="仿宋"/>
          <w:b/>
          <w:sz w:val="32"/>
          <w:szCs w:val="32"/>
        </w:rPr>
        <w:t>公务用车运行维护费支出</w:t>
      </w:r>
      <w:r>
        <w:rPr>
          <w:rFonts w:hint="eastAsia" w:ascii="仿宋" w:hAnsi="仿宋" w:eastAsia="仿宋"/>
          <w:sz w:val="32"/>
          <w:szCs w:val="32"/>
        </w:rPr>
        <w:t>1.31万元。主要用于攀枝花市群众工作服务中心开展信访维稳工作等所需的公务用车燃料费、维修费、过路过桥费、保险费等支出。</w:t>
      </w:r>
    </w:p>
    <w:p>
      <w:pPr>
        <w:spacing w:line="540" w:lineRule="exact"/>
        <w:ind w:firstLine="64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公务接待费支出</w:t>
      </w:r>
      <w:r>
        <w:rPr>
          <w:rFonts w:hint="eastAsia" w:ascii="仿宋" w:hAnsi="仿宋" w:eastAsia="仿宋"/>
          <w:sz w:val="32"/>
          <w:szCs w:val="32"/>
        </w:rPr>
        <w:t>0万元，</w:t>
      </w:r>
      <w:r>
        <w:rPr>
          <w:rStyle w:val="18"/>
          <w:rFonts w:hint="eastAsia" w:ascii="仿宋" w:hAnsi="仿宋" w:eastAsia="仿宋"/>
          <w:b w:val="0"/>
          <w:bCs/>
          <w:sz w:val="32"/>
          <w:szCs w:val="32"/>
        </w:rPr>
        <w:t>完成预算0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 w:hAnsi="仿宋" w:eastAsia="仿宋"/>
          <w:sz w:val="32"/>
          <w:szCs w:val="32"/>
        </w:rPr>
        <w:t>公务接待费支出决算比</w:t>
      </w:r>
      <w:r>
        <w:rPr>
          <w:rFonts w:ascii="仿宋" w:hAnsi="仿宋" w:eastAsia="仿宋"/>
          <w:sz w:val="32"/>
          <w:szCs w:val="32"/>
        </w:rPr>
        <w:t>20</w:t>
      </w:r>
      <w:r>
        <w:rPr>
          <w:rFonts w:hint="eastAsia" w:ascii="仿宋" w:hAnsi="仿宋" w:eastAsia="仿宋"/>
          <w:sz w:val="32"/>
          <w:szCs w:val="32"/>
        </w:rPr>
        <w:t>21年减少0.19万元，下降100</w:t>
      </w:r>
      <w:r>
        <w:rPr>
          <w:rFonts w:ascii="仿宋" w:hAnsi="仿宋" w:eastAsia="仿宋"/>
          <w:sz w:val="32"/>
          <w:szCs w:val="32"/>
        </w:rPr>
        <w:t>%</w:t>
      </w:r>
      <w:r>
        <w:rPr>
          <w:rFonts w:hint="eastAsia" w:ascii="仿宋" w:hAnsi="仿宋" w:eastAsia="仿宋"/>
          <w:sz w:val="32"/>
          <w:szCs w:val="32"/>
        </w:rPr>
        <w:t>。主要原因是严格控制公务接待费用支出,另受新冠肺炎疫情影响，减少公务接待。其中：</w:t>
      </w:r>
    </w:p>
    <w:p>
      <w:pPr>
        <w:spacing w:line="540" w:lineRule="exact"/>
        <w:ind w:firstLine="640"/>
        <w:rPr>
          <w:rFonts w:ascii="仿宋" w:hAnsi="仿宋" w:eastAsia="仿宋"/>
          <w:sz w:val="32"/>
          <w:szCs w:val="32"/>
        </w:rPr>
      </w:pPr>
      <w:r>
        <w:rPr>
          <w:rFonts w:hint="eastAsia" w:ascii="仿宋" w:hAnsi="仿宋" w:eastAsia="仿宋"/>
          <w:b/>
          <w:sz w:val="32"/>
          <w:szCs w:val="32"/>
        </w:rPr>
        <w:t>国内公务接待支出</w:t>
      </w:r>
      <w:r>
        <w:rPr>
          <w:rFonts w:hint="eastAsia" w:ascii="仿宋" w:hAnsi="仿宋" w:eastAsia="仿宋"/>
          <w:sz w:val="32"/>
          <w:szCs w:val="32"/>
        </w:rPr>
        <w:t>0万元，</w:t>
      </w:r>
      <w:r>
        <w:rPr>
          <w:rFonts w:hint="eastAsia" w:ascii="仿宋_GB2312" w:eastAsia="仿宋_GB2312"/>
          <w:sz w:val="32"/>
          <w:szCs w:val="32"/>
        </w:rPr>
        <w:t>国内公务接待0批次，0人次（不包括陪同人员），共计支出0万元</w:t>
      </w:r>
      <w:r>
        <w:rPr>
          <w:rFonts w:hint="eastAsia" w:ascii="仿宋" w:hAnsi="仿宋" w:eastAsia="仿宋"/>
          <w:sz w:val="32"/>
          <w:szCs w:val="32"/>
        </w:rPr>
        <w:t>。</w:t>
      </w:r>
    </w:p>
    <w:p>
      <w:pPr>
        <w:spacing w:line="540" w:lineRule="exact"/>
        <w:ind w:firstLine="642" w:firstLineChars="200"/>
        <w:rPr>
          <w:rFonts w:ascii="仿宋" w:hAnsi="仿宋" w:eastAsia="仿宋"/>
          <w:sz w:val="32"/>
          <w:szCs w:val="32"/>
        </w:rPr>
      </w:pPr>
      <w:r>
        <w:rPr>
          <w:rFonts w:hint="eastAsia" w:ascii="仿宋" w:hAnsi="仿宋" w:eastAsia="仿宋"/>
          <w:b/>
          <w:sz w:val="32"/>
          <w:szCs w:val="32"/>
        </w:rPr>
        <w:t>外事接待支出</w:t>
      </w:r>
      <w:r>
        <w:rPr>
          <w:rFonts w:hint="eastAsia" w:ascii="仿宋" w:hAnsi="仿宋" w:eastAsia="仿宋"/>
          <w:sz w:val="32"/>
          <w:szCs w:val="32"/>
        </w:rPr>
        <w:t>0万元</w:t>
      </w:r>
      <w:r>
        <w:rPr>
          <w:rFonts w:hint="eastAsia" w:ascii="仿宋_GB2312" w:eastAsia="仿宋_GB2312"/>
          <w:sz w:val="32"/>
          <w:szCs w:val="32"/>
        </w:rPr>
        <w:t>，外事接待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人次（不包括陪同人员），共计支出</w:t>
      </w:r>
      <w:r>
        <w:rPr>
          <w:rFonts w:ascii="仿宋_GB2312" w:eastAsia="仿宋_GB2312"/>
          <w:sz w:val="32"/>
          <w:szCs w:val="32"/>
        </w:rPr>
        <w:t>0</w:t>
      </w:r>
      <w:r>
        <w:rPr>
          <w:rFonts w:hint="eastAsia" w:ascii="仿宋_GB2312" w:eastAsia="仿宋_GB2312"/>
          <w:sz w:val="32"/>
          <w:szCs w:val="32"/>
        </w:rPr>
        <w:t>万元</w:t>
      </w:r>
      <w:r>
        <w:rPr>
          <w:rFonts w:hint="eastAsia" w:ascii="仿宋" w:hAnsi="仿宋" w:eastAsia="仿宋"/>
          <w:sz w:val="32"/>
          <w:szCs w:val="32"/>
        </w:rPr>
        <w:t>。</w:t>
      </w:r>
      <w:bookmarkStart w:id="40" w:name="_Toc15377218"/>
      <w:bookmarkStart w:id="41" w:name="_Toc15396610"/>
    </w:p>
    <w:p>
      <w:pPr>
        <w:spacing w:line="540" w:lineRule="exact"/>
        <w:ind w:firstLine="640"/>
        <w:outlineLvl w:val="1"/>
        <w:rPr>
          <w:rStyle w:val="31"/>
          <w:rFonts w:ascii="仿宋" w:hAnsi="仿宋" w:eastAsia="仿宋"/>
        </w:rPr>
      </w:pPr>
      <w:r>
        <w:rPr>
          <w:rStyle w:val="31"/>
          <w:rFonts w:hint="eastAsia" w:ascii="黑体" w:hAnsi="黑体" w:eastAsia="黑体"/>
          <w:b w:val="0"/>
        </w:rPr>
        <w:t>八、政府性基金预算支出决算情况说明</w:t>
      </w:r>
      <w:bookmarkEnd w:id="40"/>
      <w:bookmarkEnd w:id="41"/>
    </w:p>
    <w:p>
      <w:pPr>
        <w:spacing w:line="54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22年政府性基金预算财政拨款支出0万元。</w:t>
      </w:r>
    </w:p>
    <w:p>
      <w:pPr>
        <w:numPr>
          <w:ilvl w:val="0"/>
          <w:numId w:val="3"/>
        </w:numPr>
        <w:spacing w:line="540" w:lineRule="exact"/>
        <w:ind w:firstLine="640"/>
        <w:outlineLvl w:val="1"/>
        <w:rPr>
          <w:rStyle w:val="31"/>
          <w:rFonts w:ascii="黑体" w:hAnsi="黑体" w:eastAsia="黑体"/>
          <w:b w:val="0"/>
        </w:rPr>
      </w:pPr>
      <w:bookmarkStart w:id="42" w:name="_Toc15396611"/>
      <w:bookmarkStart w:id="43" w:name="_Toc15377219"/>
      <w:r>
        <w:rPr>
          <w:rStyle w:val="31"/>
          <w:rFonts w:hint="eastAsia" w:ascii="黑体" w:hAnsi="黑体" w:eastAsia="黑体"/>
          <w:b w:val="0"/>
        </w:rPr>
        <w:t>国有资本经营预算支出决算情况说明</w:t>
      </w:r>
      <w:bookmarkEnd w:id="42"/>
      <w:bookmarkEnd w:id="43"/>
    </w:p>
    <w:p>
      <w:pPr>
        <w:spacing w:line="540" w:lineRule="exact"/>
        <w:ind w:firstLine="640"/>
        <w:rPr>
          <w:rFonts w:ascii="仿宋" w:hAnsi="仿宋" w:eastAsia="仿宋" w:cs="方正小标宋简体"/>
          <w:sz w:val="44"/>
          <w:szCs w:val="44"/>
        </w:rPr>
      </w:pPr>
      <w:r>
        <w:rPr>
          <w:rFonts w:ascii="仿宋" w:hAnsi="仿宋" w:eastAsia="仿宋"/>
          <w:sz w:val="32"/>
          <w:szCs w:val="32"/>
        </w:rPr>
        <w:t>20</w:t>
      </w:r>
      <w:r>
        <w:rPr>
          <w:rFonts w:hint="eastAsia" w:ascii="仿宋" w:hAnsi="仿宋" w:eastAsia="仿宋"/>
          <w:sz w:val="32"/>
          <w:szCs w:val="32"/>
        </w:rPr>
        <w:t>22年国有资本经营预算财政拨款支出0万元。</w:t>
      </w:r>
    </w:p>
    <w:p>
      <w:pPr>
        <w:numPr>
          <w:ilvl w:val="0"/>
          <w:numId w:val="3"/>
        </w:numPr>
        <w:spacing w:line="540" w:lineRule="exact"/>
        <w:ind w:firstLine="640"/>
        <w:outlineLvl w:val="1"/>
        <w:rPr>
          <w:rStyle w:val="31"/>
          <w:rFonts w:ascii="黑体" w:hAnsi="黑体" w:eastAsia="黑体"/>
          <w:b w:val="0"/>
        </w:rPr>
      </w:pPr>
      <w:bookmarkStart w:id="44" w:name="_Toc15377221"/>
      <w:bookmarkStart w:id="45" w:name="_Toc15396612"/>
      <w:r>
        <w:rPr>
          <w:rStyle w:val="31"/>
          <w:rFonts w:hint="eastAsia" w:ascii="黑体" w:hAnsi="黑体" w:eastAsia="黑体"/>
          <w:b w:val="0"/>
        </w:rPr>
        <w:t>其他重要事项的情况说明</w:t>
      </w:r>
      <w:bookmarkEnd w:id="44"/>
      <w:bookmarkEnd w:id="45"/>
    </w:p>
    <w:p>
      <w:pPr>
        <w:spacing w:line="540" w:lineRule="exact"/>
        <w:ind w:firstLine="642" w:firstLineChars="200"/>
        <w:outlineLvl w:val="2"/>
        <w:rPr>
          <w:rFonts w:ascii="仿宋" w:hAnsi="仿宋" w:eastAsia="仿宋"/>
          <w:b/>
          <w:sz w:val="32"/>
          <w:szCs w:val="32"/>
        </w:rPr>
      </w:pPr>
      <w:bookmarkStart w:id="46" w:name="_Toc15377222"/>
      <w:r>
        <w:rPr>
          <w:rFonts w:hint="eastAsia" w:ascii="仿宋" w:hAnsi="仿宋" w:eastAsia="仿宋"/>
          <w:b/>
          <w:sz w:val="32"/>
          <w:szCs w:val="32"/>
        </w:rPr>
        <w:t>（一）机关运行经费支出情况</w:t>
      </w:r>
      <w:bookmarkEnd w:id="46"/>
    </w:p>
    <w:p>
      <w:pPr>
        <w:spacing w:line="54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22年，市信访局机关运行经费支出31.64万元，比</w:t>
      </w:r>
      <w:r>
        <w:rPr>
          <w:rFonts w:ascii="仿宋" w:hAnsi="仿宋" w:eastAsia="仿宋"/>
          <w:sz w:val="32"/>
          <w:szCs w:val="32"/>
        </w:rPr>
        <w:t>20</w:t>
      </w:r>
      <w:r>
        <w:rPr>
          <w:rFonts w:hint="eastAsia" w:ascii="仿宋" w:hAnsi="仿宋" w:eastAsia="仿宋"/>
          <w:sz w:val="32"/>
          <w:szCs w:val="32"/>
        </w:rPr>
        <w:t>21年减少14.72万元，下降31.75</w:t>
      </w:r>
      <w:r>
        <w:rPr>
          <w:rFonts w:ascii="仿宋" w:hAnsi="仿宋" w:eastAsia="仿宋"/>
          <w:sz w:val="32"/>
          <w:szCs w:val="32"/>
        </w:rPr>
        <w:t>%</w:t>
      </w:r>
      <w:r>
        <w:rPr>
          <w:rFonts w:hint="eastAsia" w:ascii="仿宋" w:hAnsi="仿宋" w:eastAsia="仿宋"/>
          <w:sz w:val="32"/>
          <w:szCs w:val="32"/>
        </w:rPr>
        <w:t>（或与</w:t>
      </w:r>
      <w:r>
        <w:rPr>
          <w:rFonts w:ascii="仿宋" w:hAnsi="仿宋" w:eastAsia="仿宋"/>
          <w:sz w:val="32"/>
          <w:szCs w:val="32"/>
        </w:rPr>
        <w:t>20</w:t>
      </w:r>
      <w:r>
        <w:rPr>
          <w:rFonts w:hint="eastAsia" w:ascii="仿宋" w:hAnsi="仿宋" w:eastAsia="仿宋"/>
          <w:sz w:val="32"/>
          <w:szCs w:val="32"/>
        </w:rPr>
        <w:t>21年决算数持平）。主要原因是机关运行经费压缩以及财政支出调控。</w:t>
      </w:r>
    </w:p>
    <w:p>
      <w:pPr>
        <w:autoSpaceDE w:val="0"/>
        <w:autoSpaceDN w:val="0"/>
        <w:adjustRightInd w:val="0"/>
        <w:spacing w:line="540" w:lineRule="exact"/>
        <w:ind w:firstLine="642"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54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22年，市信访局政府采购支出总额0万元。</w:t>
      </w:r>
    </w:p>
    <w:p>
      <w:pPr>
        <w:autoSpaceDE w:val="0"/>
        <w:autoSpaceDN w:val="0"/>
        <w:adjustRightInd w:val="0"/>
        <w:spacing w:line="540" w:lineRule="exact"/>
        <w:ind w:firstLine="642"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日，市信访局共有车辆1辆，其中：应急保障用车1辆。</w:t>
      </w:r>
    </w:p>
    <w:p>
      <w:pPr>
        <w:autoSpaceDE w:val="0"/>
        <w:autoSpaceDN w:val="0"/>
        <w:adjustRightInd w:val="0"/>
        <w:spacing w:line="54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spacing w:line="5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根据预算绩效管理要求，本部门在2022年度预算编制阶段，组织对信访维稳专项、保安服务、业务运行等8个项目开展了预算事前绩效评估，对8个项目编制了绩效目标，预算执行过程中，选取3个项目开展绩效监控。</w:t>
      </w:r>
    </w:p>
    <w:p>
      <w:pPr>
        <w:widowControl/>
        <w:spacing w:line="5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组织对2022年度一般公共预算、政府性基金预算、国有资本经营预算、社会保险基金预算以及资本资产、债券资金等全面开展绩效自评，形成市信访局部门整体（含部门预算项目）绩效自评报告、信访维稳专项、保安服务、业务运行等专项预算项目绩效自评报告。</w:t>
      </w:r>
    </w:p>
    <w:p>
      <w:pPr>
        <w:widowControl/>
        <w:spacing w:line="5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市信访局整体（含部门预算项目）绩效自评得分为98.28分，绩效自评综述：本部门按要求对 2022 年部门整体支出开展绩效自评，从评价情况来看攀枝花市信访局按照市委市政府部署要求和局年度工作计划，及时办理各类信访事项，较好的完成了各项工作任务，为我市营造了良好的社会氛围。同时，不断加强预算管理，严格按照各类规章制度管控和开支经费，资金使用效率较高，开支内容合法合规，部门整体支出绩效达到预期目标。</w:t>
      </w:r>
    </w:p>
    <w:p>
      <w:pPr>
        <w:pStyle w:val="2"/>
        <w:spacing w:before="93" w:line="540" w:lineRule="exact"/>
        <w:ind w:firstLine="640" w:firstLineChars="200"/>
        <w:rPr>
          <w:rFonts w:ascii="仿宋" w:hAnsi="仿宋" w:eastAsia="仿宋"/>
          <w:sz w:val="32"/>
          <w:szCs w:val="32"/>
        </w:rPr>
      </w:pPr>
      <w:r>
        <w:rPr>
          <w:rFonts w:hint="eastAsia" w:ascii="仿宋" w:hAnsi="仿宋" w:eastAsia="仿宋"/>
          <w:sz w:val="32"/>
          <w:szCs w:val="32"/>
        </w:rPr>
        <w:t>信访维稳专项预算项目绩效自评得分为88.2分，绩效自评综述：通过项目实施，保障攀枝花市信访信息系统的正常运转，确保群众诉求及时受理、高效办理，不断提高群众对信访工作的满意度。同时，实现信访大数据资源共享，服务中心工作，为市委市政府提供决策参考。绩效自评报告详见附件2。</w:t>
      </w:r>
    </w:p>
    <w:p>
      <w:pPr>
        <w:widowControl/>
        <w:spacing w:line="5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业务运行专项预算项目绩效自评得分为97分，绩效自评综述：通过项目实施，保障攀枝花市群众接待中心正常运转，较好的服务和接待来访群众，及时受理和化解群众诉求。绩效自评报告详见附件2。</w:t>
      </w:r>
    </w:p>
    <w:p>
      <w:pPr>
        <w:widowControl/>
        <w:spacing w:line="5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保安服务专项预算项目绩效自评得分为90.6分，绩效自评综述：通过项目实施，创建干净整洁的办公环境，维护机关工作秩序，保障信访工作规范有序开展，提高信访干部工作效率，较好的服务和接待来访群众，及时受理和化解群众诉求，维护社会和谐稳定。绩效自评报告详见附件2</w:t>
      </w:r>
    </w:p>
    <w:p>
      <w:pPr>
        <w:numPr>
          <w:ilvl w:val="0"/>
          <w:numId w:val="4"/>
        </w:numPr>
        <w:spacing w:line="600" w:lineRule="exact"/>
        <w:ind w:firstLine="660" w:firstLineChars="150"/>
        <w:jc w:val="center"/>
        <w:outlineLvl w:val="0"/>
        <w:rPr>
          <w:rStyle w:val="30"/>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30"/>
          <w:rFonts w:hint="eastAsia" w:ascii="黑体" w:hAnsi="黑体" w:eastAsia="黑体"/>
          <w:b w:val="0"/>
        </w:rPr>
        <w:t>词解释</w:t>
      </w:r>
      <w:bookmarkEnd w:id="49"/>
      <w:bookmarkEnd w:id="50"/>
    </w:p>
    <w:p>
      <w:pPr>
        <w:spacing w:line="600" w:lineRule="exact"/>
        <w:jc w:val="left"/>
        <w:rPr>
          <w:rFonts w:ascii="宋体"/>
          <w:b/>
          <w:sz w:val="44"/>
          <w:szCs w:val="44"/>
        </w:rPr>
      </w:pPr>
    </w:p>
    <w:p>
      <w:pPr>
        <w:pStyle w:val="28"/>
        <w:spacing w:line="540" w:lineRule="exact"/>
        <w:ind w:firstLine="640" w:firstLineChars="200"/>
        <w:rPr>
          <w:rFonts w:hAnsi="仿宋"/>
          <w:color w:val="auto"/>
          <w:sz w:val="32"/>
          <w:szCs w:val="32"/>
        </w:rPr>
      </w:pPr>
      <w:r>
        <w:rPr>
          <w:rFonts w:hAnsi="仿宋"/>
          <w:color w:val="auto"/>
          <w:sz w:val="32"/>
          <w:szCs w:val="32"/>
        </w:rPr>
        <w:t>1.</w:t>
      </w:r>
      <w:r>
        <w:rPr>
          <w:rFonts w:hint="eastAsia" w:hAnsi="仿宋"/>
          <w:color w:val="auto"/>
          <w:sz w:val="32"/>
          <w:szCs w:val="32"/>
        </w:rPr>
        <w:t>财政拨款收入：指单位从同级财政部门取得的财政预算资金。</w:t>
      </w:r>
    </w:p>
    <w:p>
      <w:pPr>
        <w:pStyle w:val="28"/>
        <w:spacing w:line="540" w:lineRule="exact"/>
        <w:ind w:firstLine="640" w:firstLineChars="200"/>
        <w:rPr>
          <w:rFonts w:hAnsi="仿宋"/>
          <w:color w:val="auto"/>
          <w:sz w:val="32"/>
          <w:szCs w:val="32"/>
        </w:rPr>
      </w:pPr>
      <w:r>
        <w:rPr>
          <w:rFonts w:hint="eastAsia" w:hAnsi="仿宋"/>
          <w:color w:val="auto"/>
          <w:sz w:val="32"/>
          <w:szCs w:val="32"/>
        </w:rPr>
        <w:t>2</w:t>
      </w:r>
      <w:r>
        <w:rPr>
          <w:rFonts w:hAnsi="仿宋"/>
          <w:color w:val="auto"/>
          <w:sz w:val="32"/>
          <w:szCs w:val="32"/>
        </w:rPr>
        <w:t>.</w:t>
      </w:r>
      <w:r>
        <w:rPr>
          <w:rFonts w:hint="eastAsia" w:hAnsi="仿宋"/>
          <w:color w:val="auto"/>
          <w:sz w:val="32"/>
          <w:szCs w:val="32"/>
        </w:rPr>
        <w:t>年初结转和结余：指以前年度尚未完成、结转到本年按有关规定继续使用的资金。</w:t>
      </w:r>
      <w:r>
        <w:rPr>
          <w:rFonts w:hAnsi="仿宋"/>
          <w:color w:val="auto"/>
          <w:sz w:val="32"/>
          <w:szCs w:val="32"/>
        </w:rPr>
        <w:t xml:space="preserve">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一般公共服务（类）政协事务（款）：指各级政治协商会议（以下简称“政协”）的支出。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行政运行（项）：指行政单位（包括实行公务员管理的事业单位）的基本支出。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事业运行（项）：指事业单位单位的基本支出，不包括行政单位（包括实行公务员管理的事业单位）后勤服务中心、医务室等附属事业单位。</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一般公共服务（类）政府办公厅（室）及相关机构事务（款）：指市信访局用于保障机构正常运行、开展信访业务活动的支出。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行政运行（项）：指行政单位（包括实行公务员管理的事业单位）的基本支出。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一般行政管理事务（项）：指行政单位（包括实行公务员管理的事业单位）未单独设置项级科目的其他项目支出。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信访事务（项）：指市信访局用于接待群众来信来访方面的支出。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事业运行（项）：指事业单位单位的基本支出，不包括行政单位（包括实行公务员管理的事业单位）后勤服务中心、医务室等附属事业单位。</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其他政府办公厅（室）及相关机构事务支出（项）：指除上述项目以外的其他政府办公厅（室）及相关机构事务支出。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一般公共服务（类）组织事务（款）其他组织事务支出（项）：指除上述项目以外的其他用于中国共产党组织部门的事务支出。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社会保障和就业支出（类）行政事业单位养老支出（款）：指市信访局养老方面的支出。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行政单位离退休（项）：指市信访局开支的离退休经费。</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机关事业单位基本养老保险缴费支出（项）：指市信访局机关事业单位实施养老保险制度由单位缴纳的基本养老保险费支出。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社会保障和就业支出（类）社会福利（款）儿童福利（项）：指市信访局对儿童提供福利服务方面的支出。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住房保障支出（类）住房改革支出（款）住房公积金（项）：指行政事业单位按人力资源和社会保障部、财政部规定的基本工资和津贴补贴以及规定比例为职工缴纳的住房公积金。</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rPr>
        <w:t>基本支出：指为保障机构正常运转、完成日常工作任务而发生的人员支出和公用支出。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10</w:t>
      </w:r>
      <w:r>
        <w:rPr>
          <w:rFonts w:ascii="仿宋" w:hAnsi="仿宋" w:eastAsia="仿宋"/>
          <w:sz w:val="32"/>
          <w:szCs w:val="32"/>
        </w:rPr>
        <w:t>.</w:t>
      </w:r>
      <w:r>
        <w:rPr>
          <w:rFonts w:hint="eastAsia" w:ascii="仿宋" w:hAnsi="仿宋" w:eastAsia="仿宋"/>
          <w:sz w:val="32"/>
          <w:szCs w:val="32"/>
        </w:rPr>
        <w:t>项目支出：指在基本支出之外为完成特定行政任务和事业发展目标所发生的支出。</w:t>
      </w:r>
      <w:r>
        <w:rPr>
          <w:rFonts w:ascii="仿宋" w:hAnsi="仿宋" w:eastAsia="仿宋"/>
          <w:sz w:val="32"/>
          <w:szCs w:val="32"/>
        </w:rPr>
        <w:t xml:space="preserve"> </w:t>
      </w:r>
    </w:p>
    <w:p>
      <w:pPr>
        <w:pStyle w:val="28"/>
        <w:spacing w:line="540" w:lineRule="exact"/>
        <w:ind w:firstLine="640" w:firstLineChars="200"/>
        <w:rPr>
          <w:rFonts w:hAnsi="仿宋"/>
          <w:color w:val="auto"/>
          <w:sz w:val="32"/>
          <w:szCs w:val="32"/>
        </w:rPr>
      </w:pPr>
      <w:r>
        <w:rPr>
          <w:rFonts w:hint="eastAsia" w:hAnsi="仿宋"/>
          <w:color w:val="auto"/>
          <w:sz w:val="32"/>
          <w:szCs w:val="32"/>
        </w:rPr>
        <w:t>11</w:t>
      </w:r>
      <w:r>
        <w:rPr>
          <w:rFonts w:hAnsi="仿宋"/>
          <w:color w:val="auto"/>
          <w:sz w:val="32"/>
          <w:szCs w:val="32"/>
        </w:rPr>
        <w:t>.</w:t>
      </w:r>
      <w:r>
        <w:rPr>
          <w:rFonts w:hint="eastAsia" w:hAnsi="仿宋"/>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40" w:lineRule="exact"/>
        <w:ind w:firstLine="640" w:firstLineChars="200"/>
        <w:rPr>
          <w:rFonts w:hAnsi="仿宋"/>
          <w:color w:val="auto"/>
          <w:sz w:val="32"/>
          <w:szCs w:val="32"/>
        </w:rPr>
      </w:pPr>
      <w:r>
        <w:rPr>
          <w:rFonts w:hint="eastAsia" w:hAnsi="仿宋"/>
          <w:color w:val="auto"/>
          <w:sz w:val="32"/>
          <w:szCs w:val="32"/>
        </w:rPr>
        <w:t>12</w:t>
      </w:r>
      <w:r>
        <w:rPr>
          <w:rFonts w:hAnsi="仿宋"/>
          <w:color w:val="auto"/>
          <w:sz w:val="32"/>
          <w:szCs w:val="32"/>
        </w:rPr>
        <w:t>.</w:t>
      </w:r>
      <w:r>
        <w:rPr>
          <w:rFonts w:hint="eastAsia" w:hAnsi="仿宋"/>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spacing w:line="560" w:lineRule="exact"/>
        <w:ind w:firstLine="640" w:firstLineChars="200"/>
        <w:rPr>
          <w:rFonts w:hAnsi="仿宋"/>
          <w:color w:val="auto"/>
          <w:sz w:val="32"/>
          <w:szCs w:val="32"/>
        </w:rPr>
      </w:pPr>
    </w:p>
    <w:p>
      <w:pPr>
        <w:pStyle w:val="28"/>
        <w:spacing w:line="560" w:lineRule="exact"/>
        <w:ind w:firstLine="640" w:firstLineChars="200"/>
        <w:rPr>
          <w:rFonts w:ascii="仿宋_GB2312" w:eastAsia="仿宋_GB2312" w:cs="黑体"/>
          <w:color w:val="auto"/>
          <w:sz w:val="32"/>
          <w:szCs w:val="32"/>
        </w:rPr>
      </w:pPr>
    </w:p>
    <w:p>
      <w:pPr>
        <w:ind w:firstLine="642" w:firstLineChars="200"/>
        <w:rPr>
          <w:rFonts w:ascii="仿宋" w:hAnsi="仿宋" w:eastAsia="仿宋"/>
          <w:b/>
          <w:sz w:val="32"/>
          <w:szCs w:val="32"/>
        </w:rPr>
      </w:pPr>
    </w:p>
    <w:p>
      <w:pPr>
        <w:spacing w:line="600" w:lineRule="exact"/>
        <w:jc w:val="center"/>
        <w:outlineLvl w:val="0"/>
        <w:rPr>
          <w:rStyle w:val="30"/>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30"/>
          <w:rFonts w:hint="eastAsia" w:ascii="黑体" w:hAnsi="黑体" w:eastAsia="黑体"/>
          <w:b w:val="0"/>
        </w:rPr>
        <w:t>四部分 附件</w:t>
      </w:r>
      <w:bookmarkEnd w:id="52"/>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附件1</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2022年市级部门整体绩效评价报告</w:t>
      </w:r>
    </w:p>
    <w:p>
      <w:pPr>
        <w:widowControl/>
        <w:spacing w:line="560" w:lineRule="exact"/>
        <w:contextualSpacing/>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（报告范围包括机关和下属单位）</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5"/>
        </w:numPr>
        <w:adjustRightInd w:val="0"/>
        <w:snapToGrid w:val="0"/>
        <w:spacing w:line="54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（一）机构组成。</w:t>
      </w:r>
    </w:p>
    <w:p>
      <w:pPr>
        <w:widowControl/>
        <w:adjustRightInd w:val="0"/>
        <w:snapToGrid w:val="0"/>
        <w:spacing w:line="540"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攀枝花市信访局属于市本级财政一级预算行政单位， 内设有网信办理科、来访和督查督办科、办公室3个机构，局下属非独立核算事业单位1个（攀枝花市群众工作服务中心）。</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（二）机构职能和人员概况。</w:t>
      </w:r>
    </w:p>
    <w:p>
      <w:pPr>
        <w:widowControl/>
        <w:adjustRightInd w:val="0"/>
        <w:snapToGrid w:val="0"/>
        <w:spacing w:line="540" w:lineRule="exact"/>
        <w:ind w:firstLine="642" w:firstLineChars="200"/>
        <w:contextualSpacing/>
        <w:jc w:val="left"/>
        <w:rPr>
          <w:rFonts w:ascii="仿宋" w:hAnsi="仿宋" w:eastAsia="仿宋" w:cs="仿宋"/>
          <w:kern w:val="0"/>
          <w:sz w:val="32"/>
          <w:szCs w:val="32"/>
        </w:rPr>
      </w:pPr>
      <w:r>
        <w:rPr>
          <w:rFonts w:hint="eastAsia" w:ascii="仿宋" w:hAnsi="仿宋" w:eastAsia="仿宋" w:cs="楷体_GB2312"/>
          <w:b/>
          <w:bCs/>
          <w:kern w:val="0"/>
          <w:sz w:val="32"/>
          <w:szCs w:val="32"/>
          <w:shd w:val="clear" w:color="auto" w:fill="FFFFFF"/>
          <w:lang w:val="zh-CN"/>
        </w:rPr>
        <w:t>1. 机构职能。</w:t>
      </w:r>
      <w:r>
        <w:rPr>
          <w:rFonts w:hint="eastAsia" w:ascii="仿宋" w:hAnsi="仿宋" w:eastAsia="仿宋" w:cs="仿宋"/>
          <w:kern w:val="0"/>
          <w:sz w:val="32"/>
          <w:szCs w:val="32"/>
        </w:rPr>
        <w:t>认真贯彻落实中央、省、市关于新时期群众（信访）工作的方针政策，全面贯彻落实中共中央、国务院《信访工作条例》，规范信访工作行为，畅通信访渠道，反映社情民意；研究、分析信访情况，开展调查研究，及时向市委、市政府提出完善政策和改进工作的建议；受理、交办、转送信访人提出的信访事项；承办上级和本级人民政府交由处理的信访事项；督促、检查、协调处理重要信访事项；承担市信访工作联席会议办公室的日常工作。</w:t>
      </w:r>
    </w:p>
    <w:p>
      <w:pPr>
        <w:widowControl/>
        <w:adjustRightInd w:val="0"/>
        <w:snapToGrid w:val="0"/>
        <w:spacing w:line="540" w:lineRule="exact"/>
        <w:ind w:firstLine="642" w:firstLineChars="200"/>
        <w:contextualSpacing/>
        <w:jc w:val="left"/>
        <w:rPr>
          <w:rFonts w:ascii="仿宋" w:hAnsi="仿宋" w:eastAsia="仿宋" w:cs="仿宋"/>
          <w:kern w:val="0"/>
          <w:sz w:val="32"/>
          <w:szCs w:val="32"/>
        </w:rPr>
      </w:pPr>
      <w:r>
        <w:rPr>
          <w:rFonts w:hint="eastAsia" w:ascii="仿宋" w:hAnsi="仿宋" w:eastAsia="仿宋" w:cs="楷体_GB2312"/>
          <w:b/>
          <w:bCs/>
          <w:kern w:val="0"/>
          <w:sz w:val="32"/>
          <w:szCs w:val="32"/>
          <w:shd w:val="clear" w:color="auto" w:fill="FFFFFF"/>
          <w:lang w:val="zh-CN"/>
        </w:rPr>
        <w:t>2. 人员概况。</w:t>
      </w:r>
      <w:r>
        <w:rPr>
          <w:rFonts w:hint="eastAsia" w:ascii="仿宋" w:hAnsi="仿宋" w:eastAsia="仿宋" w:cs="仿宋"/>
          <w:kern w:val="0"/>
          <w:sz w:val="32"/>
          <w:szCs w:val="32"/>
        </w:rPr>
        <w:t>现有行政人员9名，事业人员9名，机关工勤人员2人，退休人员5人。</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（三）年度主要工作任务。</w:t>
      </w:r>
    </w:p>
    <w:p>
      <w:pPr>
        <w:pStyle w:val="2"/>
        <w:spacing w:before="93" w:line="540" w:lineRule="exact"/>
        <w:ind w:firstLine="642" w:firstLineChars="200"/>
        <w:rPr>
          <w:rFonts w:ascii="仿宋" w:hAnsi="仿宋" w:eastAsia="仿宋"/>
          <w:sz w:val="32"/>
          <w:szCs w:val="32"/>
          <w:lang w:val="zh-CN"/>
        </w:rPr>
      </w:pPr>
      <w:r>
        <w:rPr>
          <w:rFonts w:hint="eastAsia" w:ascii="仿宋" w:hAnsi="仿宋" w:eastAsia="仿宋" w:cs="楷体_GB2312"/>
          <w:b/>
          <w:bCs/>
          <w:sz w:val="32"/>
          <w:szCs w:val="32"/>
          <w:shd w:val="clear" w:color="auto" w:fill="FFFFFF"/>
          <w:lang w:val="zh-CN"/>
        </w:rPr>
        <w:t>1.全力服务社会稳定大局。</w:t>
      </w:r>
      <w:r>
        <w:rPr>
          <w:rFonts w:hint="eastAsia" w:ascii="仿宋" w:hAnsi="仿宋" w:eastAsia="仿宋"/>
          <w:sz w:val="32"/>
          <w:szCs w:val="32"/>
          <w:lang w:val="zh-CN"/>
        </w:rPr>
        <w:t>围绕市委“一三三三”总体发展战略，广泛收集群众反映的急难愁盼信访问题，强化分析研判，有针对性提出意见建议，为党委政府决策提供参考。持续开展进京赴省到市上访治理工作，积极引导群众依法逐级上访，充分发挥网上信访主渠道作用，持续提升网上信访占比。</w:t>
      </w:r>
    </w:p>
    <w:p>
      <w:pPr>
        <w:pStyle w:val="2"/>
        <w:spacing w:before="93" w:line="540" w:lineRule="exact"/>
        <w:ind w:firstLine="642" w:firstLineChars="200"/>
        <w:rPr>
          <w:rFonts w:ascii="仿宋" w:hAnsi="仿宋" w:eastAsia="仿宋"/>
          <w:sz w:val="32"/>
          <w:szCs w:val="32"/>
          <w:lang w:val="zh-CN"/>
        </w:rPr>
      </w:pPr>
      <w:r>
        <w:rPr>
          <w:rFonts w:hint="eastAsia" w:ascii="仿宋" w:hAnsi="仿宋" w:eastAsia="仿宋" w:cs="楷体_GB2312"/>
          <w:b/>
          <w:bCs/>
          <w:sz w:val="32"/>
          <w:szCs w:val="32"/>
          <w:shd w:val="clear" w:color="auto" w:fill="FFFFFF"/>
          <w:lang w:val="zh-CN"/>
        </w:rPr>
        <w:t>2.</w:t>
      </w:r>
      <w:r>
        <w:rPr>
          <w:rFonts w:hint="eastAsia" w:ascii="仿宋" w:hAnsi="仿宋" w:eastAsia="仿宋"/>
          <w:sz w:val="32"/>
          <w:szCs w:val="32"/>
        </w:rPr>
        <w:t xml:space="preserve"> </w:t>
      </w:r>
      <w:r>
        <w:rPr>
          <w:rFonts w:hint="eastAsia" w:ascii="仿宋" w:hAnsi="仿宋" w:eastAsia="仿宋" w:cs="楷体_GB2312"/>
          <w:b/>
          <w:bCs/>
          <w:sz w:val="32"/>
          <w:szCs w:val="32"/>
          <w:shd w:val="clear" w:color="auto" w:fill="FFFFFF"/>
          <w:lang w:val="zh-CN"/>
        </w:rPr>
        <w:t>做好重点时期信访稳定工作。</w:t>
      </w:r>
      <w:r>
        <w:rPr>
          <w:rFonts w:hint="eastAsia" w:ascii="仿宋" w:hAnsi="仿宋" w:eastAsia="仿宋"/>
          <w:sz w:val="32"/>
          <w:szCs w:val="32"/>
          <w:lang w:val="zh-CN"/>
        </w:rPr>
        <w:t>全力抓好重要敏感期间信访稳定工作，制定印发全国</w:t>
      </w:r>
      <w:bookmarkStart w:id="67" w:name="_GoBack"/>
      <w:r>
        <w:rPr>
          <w:rFonts w:hint="eastAsia" w:ascii="仿宋" w:hAnsi="仿宋" w:eastAsia="仿宋"/>
          <w:sz w:val="32"/>
          <w:szCs w:val="32"/>
          <w:lang w:val="zh-CN"/>
        </w:rPr>
        <w:t>两会</w:t>
      </w:r>
      <w:bookmarkEnd w:id="67"/>
      <w:r>
        <w:rPr>
          <w:rFonts w:hint="eastAsia" w:ascii="仿宋" w:hAnsi="仿宋" w:eastAsia="仿宋"/>
          <w:sz w:val="32"/>
          <w:szCs w:val="32"/>
          <w:lang w:val="zh-CN"/>
        </w:rPr>
        <w:t>、全省两会、全市两会，北京冬（残）奥会，省第十二次党代会和党的二十大信访安全保障工作方案，建立健全重要节点进京赴省到市上访治理每日调度机制，妥善处置化解各类风险隐患，坚决杜绝涉访敏感信息演变成现实危害，确保在关键时刻社会大局平安稳定。</w:t>
      </w:r>
    </w:p>
    <w:p>
      <w:pPr>
        <w:pStyle w:val="2"/>
        <w:spacing w:before="93" w:line="540" w:lineRule="exact"/>
        <w:ind w:firstLine="642" w:firstLineChars="200"/>
        <w:rPr>
          <w:rFonts w:ascii="仿宋" w:hAnsi="仿宋" w:eastAsia="仿宋"/>
          <w:sz w:val="32"/>
          <w:szCs w:val="32"/>
          <w:lang w:val="zh-CN"/>
        </w:rPr>
      </w:pPr>
      <w:r>
        <w:rPr>
          <w:rFonts w:hint="eastAsia" w:ascii="仿宋" w:hAnsi="仿宋" w:eastAsia="仿宋" w:cs="楷体_GB2312"/>
          <w:b/>
          <w:bCs/>
          <w:sz w:val="32"/>
          <w:szCs w:val="32"/>
          <w:shd w:val="clear" w:color="auto" w:fill="FFFFFF"/>
          <w:lang w:val="zh-CN"/>
        </w:rPr>
        <w:t>3.盯紧抓实信访重点工作。</w:t>
      </w:r>
      <w:r>
        <w:rPr>
          <w:rFonts w:hint="eastAsia" w:ascii="仿宋" w:hAnsi="仿宋" w:eastAsia="仿宋"/>
          <w:sz w:val="32"/>
          <w:szCs w:val="32"/>
          <w:lang w:val="zh-CN"/>
        </w:rPr>
        <w:t>围绕“大督查大接访大调研、转变作风解民忧办实事”活动要求，着力夯实信访基层基础，全市48个乡镇（街道）全部建立信访工作联席会议制度。扎实推进“治重化积”工作。严格按照中央、省信访工作联席会议关于集中治理重复信访、化解信访积案专项工作部署要求，坚持结果导向，聚焦问题短板，持续加力发力，确保完成各项化解任务。有序开展“全国信访工作示范县”创建活动，不断深化巩固“人民满意窗口”创建成果，制定印发应对新冠肺炎疫情防控应急预案、市领导定期接访和重要敏感节点接访工作方案，优化完善联合接访和动态派驻接访机制，推动各级领导干部下基层、上一线、到访点，促进信访问题及时就地解决。</w:t>
      </w:r>
    </w:p>
    <w:p>
      <w:pPr>
        <w:pStyle w:val="2"/>
        <w:spacing w:before="93" w:line="540" w:lineRule="exact"/>
        <w:ind w:firstLine="642" w:firstLineChars="200"/>
        <w:rPr>
          <w:rFonts w:ascii="仿宋" w:hAnsi="仿宋" w:eastAsia="仿宋"/>
          <w:sz w:val="32"/>
          <w:szCs w:val="32"/>
          <w:lang w:val="zh-CN"/>
        </w:rPr>
      </w:pPr>
      <w:r>
        <w:rPr>
          <w:rFonts w:hint="eastAsia" w:ascii="仿宋" w:hAnsi="仿宋" w:eastAsia="仿宋" w:cs="楷体_GB2312"/>
          <w:b/>
          <w:bCs/>
          <w:sz w:val="32"/>
          <w:szCs w:val="32"/>
          <w:shd w:val="clear" w:color="auto" w:fill="FFFFFF"/>
          <w:lang w:val="zh-CN"/>
        </w:rPr>
        <w:t>4.学习宣传贯彻落实《信访工作条例》。</w:t>
      </w:r>
      <w:r>
        <w:rPr>
          <w:rFonts w:hint="eastAsia" w:ascii="仿宋" w:hAnsi="仿宋" w:eastAsia="仿宋"/>
          <w:sz w:val="32"/>
          <w:szCs w:val="32"/>
          <w:lang w:val="zh-CN"/>
        </w:rPr>
        <w:t>及时提请市委常委会、市政府常务会传达学习《信访工作条例》（以下简称《条例》）精神，研究部署贯彻落实意见。组织召开市信访局党组（扩大）会议、干部职工大会等传达学习《条例》精神和全国、全省学习贯彻《条例》座谈视频会议精神。印制《条例》读本、《百问百答》辅导读本、宣传手册、宣传画等资料发放至市级相关部门、企业和群众。</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（四）部门整体支出绩效目标。</w:t>
      </w:r>
    </w:p>
    <w:p>
      <w:pPr>
        <w:pStyle w:val="2"/>
        <w:spacing w:before="93" w:line="540" w:lineRule="exact"/>
        <w:ind w:firstLine="640" w:firstLineChars="200"/>
        <w:rPr>
          <w:rFonts w:ascii="仿宋" w:hAnsi="仿宋" w:eastAsia="仿宋"/>
          <w:sz w:val="32"/>
          <w:szCs w:val="32"/>
          <w:lang w:val="zh-CN"/>
        </w:rPr>
      </w:pPr>
      <w:r>
        <w:rPr>
          <w:rFonts w:hint="eastAsia" w:ascii="仿宋" w:hAnsi="仿宋" w:eastAsia="仿宋"/>
          <w:sz w:val="32"/>
          <w:szCs w:val="32"/>
          <w:lang w:val="zh-CN"/>
        </w:rPr>
        <w:t>攀枝花市信访工作以深入贯彻落实党的十九届历次全会、党的二十大精神和中央、省、市信访工作会议精神，以习近平新时代中国特色社会主义思想为指导，认真贯彻落实习近平总书记关于加强和改进人民信访工作的重要思想，积极适应新时代我国社会主要矛盾的新变化，坚持以人民为中心、以社会治理创新为动力，以依法及时就地解决群众合理诉求为核心，以落实信访工作责任制为抓手，牢固树立“守土有责”、“第一要务求发展、第一责任保稳定”的思想，坚决打好重点领域、重点群体、重点问题、重点人员信访矛盾化解攻坚战，扎实推进集中治理重复信访、化解信访积案专项工作，持续夯实基层基础工作，坚持和发展“枫桥经验”，为攀枝花市经济社会发展和谐稳定做出贡献。</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二、部门资金收支情况</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（一）部门总体收支情况。</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1.部门总体收入情况</w:t>
      </w:r>
    </w:p>
    <w:p>
      <w:pPr>
        <w:pStyle w:val="28"/>
        <w:spacing w:line="540" w:lineRule="exact"/>
        <w:ind w:firstLine="640" w:firstLineChars="200"/>
        <w:rPr>
          <w:rFonts w:hAnsi="仿宋"/>
          <w:color w:val="auto"/>
          <w:sz w:val="32"/>
          <w:szCs w:val="32"/>
        </w:rPr>
      </w:pPr>
      <w:r>
        <w:rPr>
          <w:rFonts w:hint="eastAsia" w:hAnsi="仿宋"/>
          <w:color w:val="auto"/>
          <w:sz w:val="32"/>
          <w:szCs w:val="32"/>
        </w:rPr>
        <w:t>2022年市信访局总收入452.95万元，较上年增加12.36万元，上升2.81%，主要是人员及项目增加。</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2.部门总体支出情况</w:t>
      </w:r>
    </w:p>
    <w:p>
      <w:pPr>
        <w:pStyle w:val="28"/>
        <w:spacing w:line="540" w:lineRule="exact"/>
        <w:ind w:firstLine="640" w:firstLineChars="200"/>
        <w:jc w:val="both"/>
        <w:rPr>
          <w:rFonts w:hAnsi="仿宋"/>
          <w:color w:val="auto"/>
          <w:sz w:val="32"/>
          <w:szCs w:val="32"/>
        </w:rPr>
      </w:pPr>
      <w:r>
        <w:rPr>
          <w:rFonts w:hint="eastAsia" w:hAnsi="仿宋"/>
          <w:color w:val="auto"/>
          <w:sz w:val="32"/>
          <w:szCs w:val="32"/>
        </w:rPr>
        <w:t>2022年市信访局总支出452.95万元，较上年增加12.36万元，上升2.81%，主要是人员及项目增加。一般公共服务支出374.71万元，占总支出的82.7%；社会保障和就业支出46.64万元，占总支出的10.3%；住房保障支出31.6万元，占总支出的7%。</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3.部门总体结转结余情况</w:t>
      </w:r>
    </w:p>
    <w:p>
      <w:pPr>
        <w:pStyle w:val="28"/>
        <w:spacing w:line="540" w:lineRule="exact"/>
        <w:ind w:firstLine="640" w:firstLineChars="200"/>
        <w:jc w:val="both"/>
        <w:rPr>
          <w:rFonts w:hAnsi="仿宋"/>
          <w:color w:val="auto"/>
          <w:sz w:val="32"/>
          <w:szCs w:val="32"/>
        </w:rPr>
      </w:pPr>
      <w:r>
        <w:rPr>
          <w:rFonts w:hint="eastAsia" w:hAnsi="仿宋"/>
          <w:color w:val="auto"/>
          <w:sz w:val="32"/>
          <w:szCs w:val="32"/>
        </w:rPr>
        <w:t>2022年年初</w:t>
      </w:r>
      <w:r>
        <w:rPr>
          <w:rFonts w:hint="eastAsia" w:hAnsi="仿宋" w:cs="仿宋_GB2312"/>
          <w:sz w:val="32"/>
          <w:szCs w:val="32"/>
          <w:shd w:val="clear" w:color="auto" w:fill="FFFFFF"/>
        </w:rPr>
        <w:t>结转结余</w:t>
      </w:r>
      <w:r>
        <w:rPr>
          <w:rFonts w:hint="eastAsia" w:hAnsi="仿宋"/>
          <w:color w:val="auto"/>
          <w:sz w:val="32"/>
          <w:szCs w:val="32"/>
        </w:rPr>
        <w:t>16.59万元。</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（二）部门财政拨款收支情况。</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1.部门财政拨款收入情况</w:t>
      </w:r>
    </w:p>
    <w:p>
      <w:pPr>
        <w:pStyle w:val="28"/>
        <w:spacing w:line="540" w:lineRule="exact"/>
        <w:ind w:firstLine="640" w:firstLineChars="200"/>
        <w:rPr>
          <w:rFonts w:hAnsi="仿宋"/>
          <w:color w:val="auto"/>
          <w:sz w:val="32"/>
          <w:szCs w:val="32"/>
        </w:rPr>
      </w:pPr>
      <w:r>
        <w:rPr>
          <w:rFonts w:hint="eastAsia" w:hAnsi="仿宋"/>
          <w:color w:val="auto"/>
          <w:sz w:val="32"/>
          <w:szCs w:val="32"/>
        </w:rPr>
        <w:t>2022年市信访局</w:t>
      </w:r>
      <w:r>
        <w:rPr>
          <w:rFonts w:hint="eastAsia" w:hAnsi="仿宋" w:cs="仿宋_GB2312"/>
          <w:sz w:val="32"/>
          <w:szCs w:val="32"/>
          <w:shd w:val="clear" w:color="auto" w:fill="FFFFFF"/>
        </w:rPr>
        <w:t>财政拨款收入</w:t>
      </w:r>
      <w:r>
        <w:rPr>
          <w:rFonts w:hint="eastAsia" w:hAnsi="仿宋"/>
          <w:color w:val="auto"/>
          <w:sz w:val="32"/>
          <w:szCs w:val="32"/>
        </w:rPr>
        <w:t>436.35万元，较上年增加0.53万元，上升12%，主要是人员及项目经费增加。</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2.部门财政拨款支出情况</w:t>
      </w:r>
    </w:p>
    <w:p>
      <w:pPr>
        <w:pStyle w:val="28"/>
        <w:spacing w:line="540" w:lineRule="exact"/>
        <w:ind w:firstLine="640" w:firstLineChars="200"/>
        <w:jc w:val="both"/>
        <w:rPr>
          <w:rFonts w:hAnsi="仿宋"/>
          <w:color w:val="auto"/>
          <w:sz w:val="32"/>
          <w:szCs w:val="32"/>
        </w:rPr>
      </w:pPr>
      <w:r>
        <w:rPr>
          <w:rFonts w:hint="eastAsia" w:hAnsi="仿宋"/>
          <w:color w:val="auto"/>
          <w:sz w:val="32"/>
          <w:szCs w:val="32"/>
        </w:rPr>
        <w:t>2022年市信访局</w:t>
      </w:r>
      <w:r>
        <w:rPr>
          <w:rFonts w:hint="eastAsia" w:hAnsi="仿宋" w:cs="仿宋_GB2312"/>
          <w:sz w:val="32"/>
          <w:szCs w:val="32"/>
          <w:shd w:val="clear" w:color="auto" w:fill="FFFFFF"/>
        </w:rPr>
        <w:t>财政拨款支出</w:t>
      </w:r>
      <w:r>
        <w:rPr>
          <w:rFonts w:hint="eastAsia" w:hAnsi="仿宋"/>
          <w:color w:val="auto"/>
          <w:sz w:val="32"/>
          <w:szCs w:val="32"/>
        </w:rPr>
        <w:t>452.95万元，较上年增加12.36万元，上升2.8%，主要是人员及项目经费增加。一般公共服务支出374.71万元，占总支出的82.7%；社会保障和就业支出46.64万元，占总支出的10.3%；住房保障支出31.6万元，占总支出的7%。</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3.部门财政拨款结转结余情况</w:t>
      </w:r>
    </w:p>
    <w:p>
      <w:pPr>
        <w:pStyle w:val="2"/>
        <w:spacing w:before="93" w:line="540" w:lineRule="exact"/>
        <w:ind w:firstLine="640" w:firstLineChars="200"/>
        <w:rPr>
          <w:rFonts w:ascii="仿宋" w:hAnsi="仿宋" w:eastAsia="仿宋"/>
          <w:sz w:val="32"/>
          <w:szCs w:val="32"/>
        </w:rPr>
      </w:pPr>
      <w:r>
        <w:rPr>
          <w:rFonts w:hint="eastAsia" w:ascii="仿宋" w:hAnsi="仿宋" w:eastAsia="仿宋"/>
          <w:sz w:val="32"/>
          <w:szCs w:val="32"/>
        </w:rPr>
        <w:t>2022年年初</w:t>
      </w:r>
      <w:r>
        <w:rPr>
          <w:rFonts w:hint="eastAsia" w:ascii="仿宋" w:hAnsi="仿宋" w:eastAsia="仿宋" w:cs="仿宋_GB2312"/>
          <w:sz w:val="32"/>
          <w:szCs w:val="32"/>
          <w:shd w:val="clear" w:color="auto" w:fill="FFFFFF"/>
        </w:rPr>
        <w:t>结转结余</w:t>
      </w:r>
      <w:r>
        <w:rPr>
          <w:rFonts w:hint="eastAsia" w:ascii="仿宋" w:hAnsi="仿宋" w:eastAsia="仿宋"/>
          <w:sz w:val="32"/>
          <w:szCs w:val="32"/>
        </w:rPr>
        <w:t>16.59万元。</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三、部门整体绩效分析</w:t>
      </w:r>
    </w:p>
    <w:p>
      <w:pPr>
        <w:widowControl/>
        <w:adjustRightInd w:val="0"/>
        <w:snapToGrid w:val="0"/>
        <w:spacing w:line="540" w:lineRule="exact"/>
        <w:ind w:firstLine="642"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（一）部门预算项目绩效分析。</w:t>
      </w:r>
    </w:p>
    <w:p>
      <w:pPr>
        <w:widowControl/>
        <w:adjustRightInd w:val="0"/>
        <w:snapToGrid w:val="0"/>
        <w:spacing w:line="540" w:lineRule="exact"/>
        <w:ind w:firstLine="640" w:firstLineChars="200"/>
        <w:contextualSpacing/>
        <w:jc w:val="left"/>
        <w:rPr>
          <w:rFonts w:ascii="仿宋" w:hAnsi="仿宋" w:eastAsia="仿宋" w:cs="仿宋_GB2312"/>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1.人员类项目绩效分析</w:t>
      </w:r>
    </w:p>
    <w:p>
      <w:pPr>
        <w:widowControl/>
        <w:adjustRightInd w:val="0"/>
        <w:snapToGrid w:val="0"/>
        <w:spacing w:line="540" w:lineRule="exact"/>
        <w:ind w:firstLine="640" w:firstLineChars="200"/>
        <w:contextualSpacing/>
        <w:jc w:val="left"/>
        <w:rPr>
          <w:rFonts w:ascii="仿宋" w:hAnsi="仿宋" w:eastAsia="仿宋" w:cs="仿宋_GB2312"/>
          <w:color w:val="000000" w:themeColor="text1"/>
          <w:kern w:val="0"/>
          <w:sz w:val="32"/>
          <w:szCs w:val="32"/>
          <w:shd w:val="clear" w:color="auto" w:fill="FFFFFF"/>
          <w:lang w:val="zh-CN"/>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lang w:val="zh-CN"/>
          <w14:textFill>
            <w14:solidFill>
              <w14:schemeClr w14:val="tx1"/>
            </w14:solidFill>
          </w14:textFill>
        </w:rPr>
        <w:t>人员类经费年初预算310.27万元，追加和调剂预算数62.72万元，已执行372.99万元，执行率100%。</w:t>
      </w:r>
    </w:p>
    <w:p>
      <w:pPr>
        <w:widowControl/>
        <w:adjustRightInd w:val="0"/>
        <w:snapToGrid w:val="0"/>
        <w:spacing w:line="540" w:lineRule="exact"/>
        <w:ind w:firstLine="640" w:firstLineChars="200"/>
        <w:contextualSpacing/>
        <w:jc w:val="left"/>
        <w:rPr>
          <w:rFonts w:ascii="仿宋" w:hAnsi="仿宋" w:eastAsia="仿宋" w:cs="仿宋_GB2312"/>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2.运转类项目绩效分析</w:t>
      </w:r>
    </w:p>
    <w:p>
      <w:pPr>
        <w:widowControl/>
        <w:adjustRightInd w:val="0"/>
        <w:snapToGrid w:val="0"/>
        <w:spacing w:line="540" w:lineRule="exact"/>
        <w:ind w:firstLine="640" w:firstLineChars="200"/>
        <w:contextualSpacing/>
        <w:jc w:val="left"/>
        <w:rPr>
          <w:rFonts w:ascii="仿宋" w:hAnsi="仿宋" w:eastAsia="仿宋" w:cs="仿宋_GB2312"/>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公用经费年初预算数47.41万元，已执行31.64万元，执行率100%，资金结余率0%；其他运转类年初预算数44.02万元，已执行44.02万元，执行率100%，资金结余率0%。</w:t>
      </w:r>
    </w:p>
    <w:p>
      <w:pPr>
        <w:widowControl/>
        <w:adjustRightInd w:val="0"/>
        <w:snapToGrid w:val="0"/>
        <w:spacing w:line="540" w:lineRule="exact"/>
        <w:ind w:firstLine="640" w:firstLineChars="200"/>
        <w:contextualSpacing/>
        <w:jc w:val="left"/>
        <w:rPr>
          <w:rFonts w:ascii="仿宋" w:hAnsi="仿宋" w:eastAsia="仿宋" w:cs="仿宋_GB2312"/>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3.特定目标类项目绩效分析</w:t>
      </w:r>
    </w:p>
    <w:p>
      <w:pPr>
        <w:widowControl/>
        <w:adjustRightInd w:val="0"/>
        <w:snapToGrid w:val="0"/>
        <w:spacing w:line="540" w:lineRule="exact"/>
        <w:ind w:firstLine="640" w:firstLineChars="200"/>
        <w:contextualSpacing/>
        <w:jc w:val="left"/>
        <w:rPr>
          <w:rFonts w:ascii="仿宋" w:hAnsi="仿宋" w:eastAsia="仿宋" w:cs="仿宋_GB2312"/>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特定目标类项目3个，达到预期指标3个，项目资金4.30万元，已执行4.30万元，执行率100%，资金结余率0%。</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（二）部门整体履职绩效分析。</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2022年，攀枝花市信访工作坚持以习近平新时代中国特色社会主义思想为指导，深入学习贯彻习近平总书记关于加强和改进人民信访工作的重要思想，全面贯彻落实党的二十大精神及中央、省、市关于信访工作决策部署，紧紧围绕市委总体发展战略，统筹抓好疫情防控和信访安全保障工作，着力强化源头管控夯实基层基础，扎实开展《信访工作条例》学习宣传贯彻落实、“治重化积”专项工作和“全国信访工作示范县”创建活动，有效维护群众合法权益和社会大局稳定，信访形势呈现出“秩序向好、总体平稳”的良好态势。</w:t>
      </w:r>
    </w:p>
    <w:p>
      <w:pPr>
        <w:widowControl/>
        <w:adjustRightInd w:val="0"/>
        <w:snapToGrid w:val="0"/>
        <w:spacing w:line="540" w:lineRule="exact"/>
        <w:ind w:firstLine="642"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b/>
          <w:kern w:val="0"/>
          <w:sz w:val="32"/>
          <w:szCs w:val="32"/>
          <w:shd w:val="clear" w:color="auto" w:fill="FFFFFF"/>
        </w:rPr>
        <w:t>一是全面打赢重点敏感时段信访攻坚战。</w:t>
      </w:r>
      <w:r>
        <w:rPr>
          <w:rFonts w:hint="eastAsia" w:ascii="仿宋" w:hAnsi="仿宋" w:eastAsia="仿宋" w:cs="仿宋_GB2312"/>
          <w:kern w:val="0"/>
          <w:sz w:val="32"/>
          <w:szCs w:val="32"/>
          <w:shd w:val="clear" w:color="auto" w:fill="FFFFFF"/>
        </w:rPr>
        <w:t>党的二十大、</w:t>
      </w:r>
      <w:r>
        <w:rPr>
          <w:rFonts w:hint="eastAsia" w:ascii="仿宋" w:hAnsi="仿宋" w:eastAsia="仿宋"/>
          <w:sz w:val="32"/>
          <w:szCs w:val="32"/>
          <w:lang w:val="zh-CN"/>
        </w:rPr>
        <w:t>全国两会、全省两会、全市两会</w:t>
      </w:r>
      <w:r>
        <w:rPr>
          <w:rFonts w:hint="eastAsia" w:ascii="仿宋" w:hAnsi="仿宋" w:eastAsia="仿宋" w:cs="仿宋_GB2312"/>
          <w:kern w:val="0"/>
          <w:sz w:val="32"/>
          <w:szCs w:val="32"/>
          <w:shd w:val="clear" w:color="auto" w:fill="FFFFFF"/>
        </w:rPr>
        <w:t>、北京冬（残）奥会等重要敏感期间，收集研判倾向性、行动性预警信息148条，排查信访矛盾和重点人员（群体）563个，妥善处置扬言类信访事项50余起，协调属地落实稳控5个群体320余人，成功劝返拟赴省进京重点人员14人，接回滞留在京重点人员7人，稳控“三跨三分离”重点人员22人，圆满实现“零进京、零赴蓉”和“三个不发生”的工作目标，即，没有发生大规模聚集、没有发生涉访个人极端行为、没有发生因信访问题引发的负面炒作。</w:t>
      </w:r>
    </w:p>
    <w:p>
      <w:pPr>
        <w:widowControl/>
        <w:adjustRightInd w:val="0"/>
        <w:snapToGrid w:val="0"/>
        <w:spacing w:line="540" w:lineRule="exact"/>
        <w:ind w:firstLine="642"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b/>
          <w:kern w:val="0"/>
          <w:sz w:val="32"/>
          <w:szCs w:val="32"/>
          <w:shd w:val="clear" w:color="auto" w:fill="FFFFFF"/>
        </w:rPr>
        <w:t>二是“治重化积”专项工作效果显著。</w:t>
      </w:r>
      <w:r>
        <w:rPr>
          <w:rFonts w:hint="eastAsia" w:ascii="仿宋" w:hAnsi="仿宋" w:eastAsia="仿宋" w:cs="仿宋_GB2312"/>
          <w:kern w:val="0"/>
          <w:sz w:val="32"/>
          <w:szCs w:val="32"/>
          <w:shd w:val="clear" w:color="auto" w:fill="FFFFFF"/>
        </w:rPr>
        <w:t>专项工作开展以来，中央、省两级共交办我市重复信访事项258件。其中，中央交办209件，省级交办49件，全部落实县级领导包案责任和“一事一策、一人一专班”工作机制。经过三年集中攻坚，化解了一批信访疑难复杂案件中的“骨头案、钉子案”，258件重复信访事项已全部上报化解，有效推动全市重复信访比例大幅度下降，重点群体（人员）突出矛盾得到明显缓解。</w:t>
      </w:r>
    </w:p>
    <w:p>
      <w:pPr>
        <w:widowControl/>
        <w:adjustRightInd w:val="0"/>
        <w:snapToGrid w:val="0"/>
        <w:spacing w:line="540" w:lineRule="exact"/>
        <w:ind w:firstLine="642"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b/>
          <w:kern w:val="0"/>
          <w:sz w:val="32"/>
          <w:szCs w:val="32"/>
          <w:shd w:val="clear" w:color="auto" w:fill="FFFFFF"/>
        </w:rPr>
        <w:t>三是信访“三率”考核指标长期保持稳定。</w:t>
      </w:r>
      <w:r>
        <w:rPr>
          <w:rFonts w:hint="eastAsia" w:ascii="仿宋" w:hAnsi="仿宋" w:eastAsia="仿宋" w:cs="仿宋_GB2312"/>
          <w:kern w:val="0"/>
          <w:sz w:val="32"/>
          <w:szCs w:val="32"/>
          <w:shd w:val="clear" w:color="auto" w:fill="FFFFFF"/>
        </w:rPr>
        <w:t>2022年，我市信访部门受理纳入“三率”考核信访事项559件次，责任单位受理纳入“三率”考核信访事项409件次，及时受理率分别为100%、100%。纳入“三率”按期答复率考核980件次，按期答复率100%。纳入信访部门、责任单位满意度评价信访事项分别为313、312件次。其中，信访部门参评率为98.72%，满意率为98.71%；责任单位参评率为98.08%，满意率为99.02%，相关指标长期稳定在省上下达的“信访事项及时受理率100%、按期答复率100%、群众参评率达到95%以上、参评群众满意率达到98%以上”考核目标之上。</w:t>
      </w:r>
    </w:p>
    <w:p>
      <w:pPr>
        <w:widowControl/>
        <w:adjustRightInd w:val="0"/>
        <w:snapToGrid w:val="0"/>
        <w:spacing w:line="540" w:lineRule="exact"/>
        <w:ind w:firstLine="642"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b/>
          <w:kern w:val="0"/>
          <w:sz w:val="32"/>
          <w:szCs w:val="32"/>
          <w:shd w:val="clear" w:color="auto" w:fill="FFFFFF"/>
        </w:rPr>
        <w:t>四是“全国信访工作示范县”创建指标控制较好。</w:t>
      </w:r>
      <w:r>
        <w:rPr>
          <w:rFonts w:hint="eastAsia" w:ascii="仿宋" w:hAnsi="仿宋" w:eastAsia="仿宋" w:cs="仿宋_GB2312"/>
          <w:kern w:val="0"/>
          <w:sz w:val="32"/>
          <w:szCs w:val="32"/>
          <w:shd w:val="clear" w:color="auto" w:fill="FFFFFF"/>
        </w:rPr>
        <w:t>2022年，为实现创建活动“零”的突破，市信访局专门成立专项工作领导小组，定期下沉督导创建工作，指定专人动态监测创建指标。对照《全国信访工作示范县（市、区、旗）评定办法》中的走访、来信、网信上限件数和重复件数等20个控制指标，全市符合创建标准的县（区）共3个，分别为东区、米易县、盐边县，均有望创建成功“全国信访工作示范县”。</w:t>
      </w:r>
    </w:p>
    <w:p>
      <w:pPr>
        <w:widowControl/>
        <w:adjustRightInd w:val="0"/>
        <w:snapToGrid w:val="0"/>
        <w:spacing w:line="540" w:lineRule="exact"/>
        <w:ind w:firstLine="642"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b/>
          <w:kern w:val="0"/>
          <w:sz w:val="32"/>
          <w:szCs w:val="32"/>
          <w:shd w:val="clear" w:color="auto" w:fill="FFFFFF"/>
        </w:rPr>
        <w:t>五是进京赴省上访形势得到根本性好转。</w:t>
      </w:r>
      <w:r>
        <w:rPr>
          <w:rFonts w:hint="eastAsia" w:ascii="仿宋" w:hAnsi="仿宋" w:eastAsia="仿宋" w:cs="仿宋_GB2312"/>
          <w:kern w:val="0"/>
          <w:sz w:val="32"/>
          <w:szCs w:val="32"/>
          <w:shd w:val="clear" w:color="auto" w:fill="FFFFFF"/>
        </w:rPr>
        <w:t>结合进京赴省上访治理新形势新任务，按照省信联办关于驻京驻蓉值班工作要求，进一步优化调整了驻京信访值班工作制度。2022年，驻京工作组成功劝返已到京上访人员27批28人次，避免形成上访记录；协助化解了长期到国家信访局“点卯划到”的信访事项，该事项成功化解彻底推动进京上访形势得到根本性好转。2022年，群众进京上访48批48人次，同比分别下降40.0%、41.5%，无进京非接待场所有关人员；群众到省上访52批59人次，同比分别下降13.3%、26.3%，无到省集访。</w:t>
      </w:r>
    </w:p>
    <w:p>
      <w:pPr>
        <w:widowControl/>
        <w:adjustRightInd w:val="0"/>
        <w:snapToGrid w:val="0"/>
        <w:spacing w:line="540" w:lineRule="exact"/>
        <w:ind w:firstLine="642"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b/>
          <w:kern w:val="0"/>
          <w:sz w:val="32"/>
          <w:szCs w:val="32"/>
          <w:shd w:val="clear" w:color="auto" w:fill="FFFFFF"/>
        </w:rPr>
        <w:t>六是《信访工作条例》学习宣传工作实现全覆盖。</w:t>
      </w:r>
      <w:r>
        <w:rPr>
          <w:rFonts w:hint="eastAsia" w:ascii="仿宋" w:hAnsi="仿宋" w:eastAsia="仿宋" w:cs="仿宋_GB2312"/>
          <w:kern w:val="0"/>
          <w:sz w:val="32"/>
          <w:szCs w:val="32"/>
          <w:shd w:val="clear" w:color="auto" w:fill="FFFFFF"/>
        </w:rPr>
        <w:t>市、县两级党委常委会、政府常务会及市级有关部门党委（党组）会均已传达学习《信访工作条例》（以下简称《条例》）精神，研究部署贯彻落实意见。全市共组织召开《条例》培训工作会7次，累计培训信访干部600余人，累计送《条例》进乡村、进社区、进学校、进企业、进单位100余次，发放宣传资料30000余份，涉及群众30000余人次，积极营造办事依法、遇事找法、解决问题用法、化解矛盾靠法的良好环境。</w:t>
      </w:r>
    </w:p>
    <w:p>
      <w:pPr>
        <w:widowControl/>
        <w:adjustRightInd w:val="0"/>
        <w:snapToGrid w:val="0"/>
        <w:spacing w:line="540" w:lineRule="exact"/>
        <w:ind w:firstLine="642"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b/>
          <w:kern w:val="0"/>
          <w:sz w:val="32"/>
          <w:szCs w:val="32"/>
          <w:shd w:val="clear" w:color="auto" w:fill="FFFFFF"/>
        </w:rPr>
        <w:t>七是信访工作力量得到持续加强。</w:t>
      </w:r>
      <w:r>
        <w:rPr>
          <w:rFonts w:hint="eastAsia" w:ascii="仿宋" w:hAnsi="仿宋" w:eastAsia="仿宋" w:cs="仿宋_GB2312"/>
          <w:kern w:val="0"/>
          <w:sz w:val="32"/>
          <w:szCs w:val="32"/>
          <w:shd w:val="clear" w:color="auto" w:fill="FFFFFF"/>
        </w:rPr>
        <w:t>2022年，市信访局下属事业单位市群众工作服务中心通过全市事业单位公招和招才引智工作，新招录事业人员2名。目前，该中心事业编制10名，实有人员9人，其中，副科级干部2人，八级管理B岗2人，专业技术中级十级1人。市信访局相继晋升一级主任科员1人，提拔正科级领导干部2人。</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（三）结果应用情况。</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下一步，我局将按照相关规定，进一步规范预算管理及执行，加强对部门预算整体绩效评价和绩效运行监控，总结2022年经验，取长补短，严格执行预算管理，严格执行预算支出，扎实开展信访工作。同时，我局将在攀枝花市信访局网站公示2022 年度绩效目标自评表及自评报告。</w:t>
      </w:r>
    </w:p>
    <w:p>
      <w:pPr>
        <w:widowControl/>
        <w:numPr>
          <w:ilvl w:val="0"/>
          <w:numId w:val="6"/>
        </w:numPr>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自评质量。</w:t>
      </w:r>
    </w:p>
    <w:p>
      <w:pPr>
        <w:widowControl/>
        <w:adjustRightInd w:val="0"/>
        <w:snapToGrid w:val="0"/>
        <w:spacing w:line="540" w:lineRule="exact"/>
        <w:ind w:firstLine="640" w:firstLineChars="200"/>
        <w:contextualSpacing/>
        <w:jc w:val="left"/>
        <w:rPr>
          <w:rFonts w:ascii="仿宋" w:hAnsi="仿宋" w:eastAsia="仿宋"/>
          <w:sz w:val="32"/>
          <w:szCs w:val="32"/>
        </w:rPr>
      </w:pPr>
      <w:r>
        <w:rPr>
          <w:rFonts w:hint="eastAsia" w:ascii="仿宋" w:hAnsi="仿宋" w:eastAsia="仿宋" w:cs="仿宋_GB2312"/>
          <w:kern w:val="0"/>
          <w:sz w:val="32"/>
          <w:szCs w:val="32"/>
          <w:shd w:val="clear" w:color="auto" w:fill="FFFFFF"/>
        </w:rPr>
        <w:t>2022年度，市信访局严格贯彻执行中央八项规定精神及省、市“十项规定”实施细则，各项开支厉行节约，按时保质保量圆满完成了各项重点工作任务， 在产出指标完成情况、效益指标完成情况、满意度指标完成情况等方面，全部达到全年预期绩效目标，全面推动了全市信访工作的高质量发展。</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四、评价结论及建议</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（一）评价结论。</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2022年度市信访局各项经费达到对应的绩效目标，圆满完成各项目规定的工作任务。</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（二）存在问题。</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预算编制与实际支出项目有的仍存在细微差异，存在预算完成率和预算控制率受不确定因素影响的问题。</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（三）改进建议。</w:t>
      </w:r>
    </w:p>
    <w:p>
      <w:pPr>
        <w:pStyle w:val="2"/>
        <w:spacing w:before="93" w:line="540" w:lineRule="exact"/>
        <w:rPr>
          <w:rFonts w:ascii="仿宋" w:hAnsi="仿宋" w:eastAsia="仿宋"/>
          <w:sz w:val="32"/>
          <w:szCs w:val="32"/>
          <w:lang w:val="zh-CN"/>
        </w:rPr>
      </w:pPr>
      <w:r>
        <w:rPr>
          <w:rFonts w:hint="eastAsia" w:ascii="仿宋" w:hAnsi="仿宋" w:eastAsia="仿宋"/>
          <w:sz w:val="32"/>
          <w:szCs w:val="32"/>
          <w:lang w:val="zh-CN"/>
        </w:rPr>
        <w:t>一是进一步细化预算编制工作，严格按照预算编制的相关制度和要求，编制范围尽可能的全面，不漏项。</w:t>
      </w:r>
      <w:r>
        <w:rPr>
          <w:rFonts w:hint="eastAsia" w:ascii="仿宋" w:hAnsi="仿宋" w:eastAsia="仿宋" w:cs="仿宋_GB2312"/>
          <w:sz w:val="32"/>
          <w:szCs w:val="32"/>
          <w:shd w:val="clear" w:color="auto" w:fill="FFFFFF"/>
        </w:rPr>
        <w:t>二是进一步提高预算编制的科学性、合理性、严谨性和可控性。</w:t>
      </w:r>
    </w:p>
    <w:p>
      <w:pPr>
        <w:pStyle w:val="15"/>
        <w:spacing w:line="540" w:lineRule="exact"/>
        <w:ind w:left="0" w:leftChars="0" w:firstLine="0" w:firstLineChars="0"/>
        <w:rPr>
          <w:rFonts w:ascii="仿宋" w:hAnsi="仿宋" w:eastAsia="仿宋" w:cs="仿宋_GB2312"/>
          <w:sz w:val="32"/>
          <w:lang w:val="zh-CN"/>
        </w:rPr>
      </w:pPr>
      <w:r>
        <w:rPr>
          <w:rFonts w:hint="eastAsia" w:ascii="仿宋" w:hAnsi="仿宋" w:eastAsia="仿宋" w:cs="仿宋_GB2312"/>
          <w:sz w:val="32"/>
          <w:lang w:val="zh-CN"/>
        </w:rPr>
        <w:t>附表：</w:t>
      </w:r>
      <w:r>
        <w:rPr>
          <w:rFonts w:hint="eastAsia" w:ascii="仿宋" w:hAnsi="仿宋" w:eastAsia="仿宋" w:cs="仿宋_GB2312"/>
          <w:sz w:val="32"/>
        </w:rPr>
        <w:t>部门预算项目支出绩效自评表（2022年度）见附件3</w:t>
      </w:r>
    </w:p>
    <w:p>
      <w:pPr>
        <w:pStyle w:val="2"/>
        <w:spacing w:before="93"/>
        <w:rPr>
          <w:rFonts w:ascii="仿宋" w:hAnsi="仿宋" w:eastAsia="仿宋"/>
          <w:sz w:val="32"/>
          <w:szCs w:val="32"/>
        </w:rPr>
      </w:pPr>
      <w:r>
        <w:rPr>
          <w:rFonts w:ascii="仿宋" w:hAnsi="仿宋" w:eastAsia="仿宋"/>
          <w:sz w:val="32"/>
          <w:szCs w:val="32"/>
        </w:rPr>
        <w:br w:type="page"/>
      </w:r>
    </w:p>
    <w:p>
      <w:pPr>
        <w:spacing w:before="72" w:after="120"/>
        <w:rPr>
          <w:rFonts w:ascii="仿宋" w:hAnsi="仿宋" w:eastAsia="仿宋"/>
          <w:sz w:val="32"/>
          <w:szCs w:val="32"/>
        </w:rPr>
      </w:pPr>
      <w:r>
        <w:rPr>
          <w:rFonts w:hint="eastAsia" w:ascii="仿宋" w:hAnsi="仿宋" w:eastAsia="仿宋" w:cs="宋体"/>
          <w:sz w:val="32"/>
          <w:szCs w:val="32"/>
          <w:shd w:val="clear" w:color="auto" w:fill="FFFFFF"/>
          <w:lang w:val="zh-CN"/>
        </w:rPr>
        <w:t>附件</w:t>
      </w:r>
      <w:r>
        <w:rPr>
          <w:rFonts w:hint="eastAsia" w:ascii="仿宋" w:hAnsi="仿宋" w:eastAsia="仿宋" w:cs="宋体"/>
          <w:sz w:val="32"/>
          <w:szCs w:val="32"/>
          <w:shd w:val="clear" w:color="auto" w:fill="FFFFFF"/>
        </w:rPr>
        <w:t>2</w:t>
      </w:r>
    </w:p>
    <w:p>
      <w:pPr>
        <w:adjustRightInd w:val="0"/>
        <w:snapToGrid w:val="0"/>
        <w:spacing w:line="578" w:lineRule="exact"/>
        <w:ind w:firstLine="720"/>
        <w:rPr>
          <w:rFonts w:ascii="黑体" w:hAnsi="宋体" w:eastAsia="黑体"/>
          <w:sz w:val="32"/>
          <w:szCs w:val="32"/>
          <w:lang w:val="zh-CN"/>
        </w:rPr>
      </w:pPr>
      <w:r>
        <w:rPr>
          <w:rFonts w:hint="eastAsia" w:ascii="方正小标宋简体" w:hAnsi="方正小标宋简体" w:eastAsia="方正小标宋简体" w:cs="方正小标宋简体"/>
          <w:sz w:val="32"/>
          <w:szCs w:val="32"/>
        </w:rPr>
        <w:t>2023年市级专项资金项目预算绩效自评报告</w:t>
      </w:r>
    </w:p>
    <w:p>
      <w:pPr>
        <w:spacing w:line="578" w:lineRule="exact"/>
        <w:ind w:firstLine="640"/>
        <w:jc w:val="center"/>
        <w:rPr>
          <w:rFonts w:ascii="方正小标宋简体" w:hAnsi="宋体" w:eastAsia="方正小标宋简体"/>
          <w:sz w:val="28"/>
          <w:szCs w:val="28"/>
          <w:lang w:val="zh-CN"/>
        </w:rPr>
      </w:pPr>
      <w:r>
        <w:rPr>
          <w:rFonts w:hint="eastAsia" w:ascii="方正小标宋简体" w:hAnsi="宋体" w:eastAsia="方正小标宋简体"/>
          <w:sz w:val="28"/>
          <w:szCs w:val="28"/>
          <w:lang w:val="zh-CN"/>
        </w:rPr>
        <w:t>（信访维稳专项经费）</w:t>
      </w:r>
      <w:r>
        <w:rPr>
          <w:rFonts w:ascii="方正小标宋简体" w:hAnsi="宋体" w:eastAsia="方正小标宋简体"/>
          <w:sz w:val="28"/>
          <w:szCs w:val="28"/>
          <w:lang w:val="zh-CN"/>
        </w:rPr>
        <w:tab/>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一、项目概况</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（一）项目基本情况。</w:t>
      </w:r>
    </w:p>
    <w:p>
      <w:pPr>
        <w:adjustRightInd w:val="0"/>
        <w:snapToGrid w:val="0"/>
        <w:spacing w:line="54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信访维稳专项经费主要用于办理群众来信来访，矛盾纠纷排查化解，网上投诉受理平台运行创建，全国两会、全省两会及敏感时期驻京驻蓉信访维稳值班，派出工作组劝返到省进京上访信访人，保障市信访局正常运转，信访稳定工作正常开展，确保全市社会和谐稳定。</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（二）项目绩效目标。</w:t>
      </w:r>
    </w:p>
    <w:p>
      <w:pPr>
        <w:adjustRightInd w:val="0"/>
        <w:snapToGrid w:val="0"/>
        <w:spacing w:line="54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2022 年度，市信访局向市财政局申请设立信访维稳专项经费项目，旨在保障信访工作正常运转，保证全市群众来访接待任务以及转送、交办、督办重要来访等事宜顺利开展。</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（三）项目自评步骤及方法。</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项目绩效自评实施过程采用年初制定项目绩效目标，年中检查进度，项目结束评价总结，提出改进意见。</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二、项目资金申报及使用情况</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（一）项目资金申报及批复情况。</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申报项目资金45万元，实际批复下达项目资金18.68万元。</w:t>
      </w:r>
    </w:p>
    <w:p>
      <w:pPr>
        <w:adjustRightInd w:val="0"/>
        <w:snapToGrid w:val="0"/>
        <w:spacing w:line="540" w:lineRule="exact"/>
        <w:ind w:firstLine="720"/>
        <w:rPr>
          <w:rFonts w:ascii="仿宋" w:hAnsi="仿宋" w:eastAsia="仿宋"/>
          <w:sz w:val="32"/>
          <w:szCs w:val="32"/>
          <w:lang w:val="zh-CN"/>
        </w:rPr>
      </w:pPr>
      <w:r>
        <w:rPr>
          <w:rFonts w:hint="eastAsia" w:ascii="仿宋" w:hAnsi="仿宋" w:eastAsia="仿宋"/>
          <w:b/>
          <w:sz w:val="32"/>
          <w:szCs w:val="32"/>
          <w:lang w:val="zh-CN"/>
        </w:rPr>
        <w:t>（二）资金计划、到位及使用情况。</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1．资金计划。</w:t>
      </w:r>
    </w:p>
    <w:p>
      <w:pPr>
        <w:pStyle w:val="2"/>
        <w:spacing w:before="93" w:line="540" w:lineRule="exact"/>
        <w:ind w:firstLine="640" w:firstLineChars="200"/>
        <w:rPr>
          <w:rFonts w:ascii="仿宋" w:hAnsi="仿宋" w:eastAsia="仿宋"/>
          <w:sz w:val="32"/>
          <w:szCs w:val="32"/>
          <w:lang w:val="zh-CN"/>
        </w:rPr>
      </w:pPr>
      <w:r>
        <w:rPr>
          <w:rFonts w:hint="eastAsia" w:ascii="仿宋" w:hAnsi="仿宋" w:eastAsia="仿宋"/>
          <w:sz w:val="32"/>
          <w:szCs w:val="32"/>
          <w:lang w:val="zh-CN"/>
        </w:rPr>
        <w:t>计划项目资金用于驻京、省信访保障工作、化解信访积案和到下级部门督查督办信访事项等工作支出。</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2．资金到位。</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在2022年年初下达信访维稳专项经费18.68万元。。</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3．资金使用。</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已支付18.68万元，执行率100%。</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（三）项目财务管理情况。</w:t>
      </w:r>
    </w:p>
    <w:p>
      <w:pPr>
        <w:adjustRightInd w:val="0"/>
        <w:snapToGrid w:val="0"/>
        <w:spacing w:line="54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项目实施单位财务管理制度健全，严格执行财务管理制度，账务处理及时，会计核算规范。</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三、项目实施及管理情况</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（一）项目组织架构及实施流程。</w:t>
      </w:r>
    </w:p>
    <w:p>
      <w:pPr>
        <w:adjustRightInd w:val="0"/>
        <w:snapToGrid w:val="0"/>
        <w:spacing w:line="54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攀枝花市信访局严格按照相关规定对信访维稳工作经费进行资金落实、业务管理、财务管理、项目产出、项目效益等方面进行实施。</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（二）项目管理情况。</w:t>
      </w:r>
    </w:p>
    <w:p>
      <w:pPr>
        <w:pStyle w:val="2"/>
        <w:spacing w:before="93" w:line="540" w:lineRule="exact"/>
        <w:ind w:firstLine="640" w:firstLineChars="200"/>
        <w:rPr>
          <w:rFonts w:ascii="仿宋" w:hAnsi="仿宋" w:eastAsia="仿宋"/>
          <w:sz w:val="32"/>
          <w:szCs w:val="32"/>
          <w:lang w:val="zh-CN"/>
        </w:rPr>
      </w:pPr>
      <w:r>
        <w:rPr>
          <w:rFonts w:hint="eastAsia" w:ascii="仿宋" w:hAnsi="仿宋" w:eastAsia="仿宋" w:cs="仿宋_GB2312"/>
          <w:sz w:val="32"/>
          <w:szCs w:val="32"/>
          <w:shd w:val="clear" w:color="auto" w:fill="FFFFFF"/>
          <w:lang w:val="zh-CN"/>
        </w:rPr>
        <w:t>攀枝花市信访局严格执行相关法律法规及项目管理制度，确保项目资金专款用于信访维稳工作经费，杜绝挪用、挤占、滞留专项资金情况。</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（三）项目监管情况。</w:t>
      </w:r>
    </w:p>
    <w:p>
      <w:pPr>
        <w:pStyle w:val="2"/>
        <w:spacing w:before="93" w:line="540" w:lineRule="exact"/>
        <w:ind w:firstLine="640" w:firstLineChars="200"/>
        <w:rPr>
          <w:rFonts w:ascii="仿宋" w:hAnsi="仿宋" w:eastAsia="仿宋" w:cs="仿宋_GB2312"/>
          <w:sz w:val="32"/>
          <w:szCs w:val="32"/>
          <w:shd w:val="clear" w:color="auto" w:fill="FFFFFF"/>
          <w:lang w:val="zh-CN"/>
        </w:rPr>
      </w:pPr>
      <w:r>
        <w:rPr>
          <w:rFonts w:hint="eastAsia" w:ascii="仿宋" w:hAnsi="仿宋" w:eastAsia="仿宋" w:cs="仿宋_GB2312"/>
          <w:sz w:val="32"/>
          <w:szCs w:val="32"/>
          <w:shd w:val="clear" w:color="auto" w:fill="FFFFFF"/>
          <w:lang w:val="zh-CN"/>
        </w:rPr>
        <w:t>根据信访维稳工作经费使用范围和项目开展的需要据实核查项目资金，确保资金使用规范合理。</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四、项目绩效情况</w:t>
      </w:r>
      <w:r>
        <w:rPr>
          <w:rFonts w:hint="eastAsia" w:ascii="黑体" w:hAnsi="宋体" w:eastAsia="黑体"/>
          <w:sz w:val="32"/>
          <w:szCs w:val="32"/>
          <w:lang w:val="zh-CN"/>
        </w:rPr>
        <w:tab/>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（一）项目完成情况。</w:t>
      </w:r>
    </w:p>
    <w:p>
      <w:pPr>
        <w:adjustRightInd w:val="0"/>
        <w:snapToGrid w:val="0"/>
        <w:spacing w:line="540" w:lineRule="exact"/>
        <w:ind w:firstLine="72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该项目在上级有关部门的关心、帮助下，顺利推进，圆满完成目标任务。在数量指标上，信访业务工作、信访维稳、督查工作、网上投诉受理平台正常运行，协调劝返进京上访人员，确保重要节点、敏感时期实现了“零进京”、“零到省”目标，维护了全市社会稳定；完成质量高，信访维稳工作稳步推进。</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（二）项目效益情况。</w:t>
      </w:r>
    </w:p>
    <w:p>
      <w:pPr>
        <w:adjustRightInd w:val="0"/>
        <w:snapToGrid w:val="0"/>
        <w:spacing w:line="540" w:lineRule="exact"/>
        <w:ind w:firstLine="72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通过信访维稳专项经费的使用，重要节点及敏感时期信访维稳工作，取得了一定经济效益；加强信访维稳值班，及时劝返进京赴省上访人员，取得了一定社会效益，保障全市社会和谐稳定；通过进一步拓宽信访渠道，坚持诉访分离，强化源头防范，增强群众法治意识，可持续影响较好；通过解决群众合理诉求，使矛盾化解在基层，公众满意度、对信访部门满意度以及对职能部门满意度较高，推动社会可持续发展。</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五、评价结论及建议</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（一）评价结论。</w:t>
      </w:r>
    </w:p>
    <w:p>
      <w:pPr>
        <w:adjustRightInd w:val="0"/>
        <w:snapToGrid w:val="0"/>
        <w:spacing w:line="54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在项目资金的使用上严格执行财务管理制度，核算规范，账务清晰，达到了预期目标，提升了信访工作水平，为我市高质量发展提供了和谐稳定发展环境。</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（二）存在的问题。</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cs="仿宋_GB2312"/>
          <w:kern w:val="0"/>
          <w:sz w:val="32"/>
          <w:szCs w:val="32"/>
          <w:shd w:val="clear" w:color="auto" w:fill="FFFFFF"/>
        </w:rPr>
        <w:t>一是项目实施方案笼统，整体顶层规划、设计不够充分。二是项目内容与预算的对应性不足，项目管理的精细化水平有待提升。三是项目效益呈现有待提升，满意度调查工作有待优化。</w:t>
      </w:r>
    </w:p>
    <w:p>
      <w:pPr>
        <w:adjustRightInd w:val="0"/>
        <w:snapToGrid w:val="0"/>
        <w:spacing w:line="540" w:lineRule="exact"/>
        <w:ind w:firstLine="720"/>
        <w:rPr>
          <w:rFonts w:ascii="仿宋" w:hAnsi="仿宋" w:eastAsia="仿宋" w:cs="宋体"/>
          <w:sz w:val="32"/>
          <w:szCs w:val="32"/>
          <w:shd w:val="clear" w:color="auto" w:fill="FFFFFF"/>
          <w:lang w:val="zh-CN"/>
        </w:rPr>
      </w:pPr>
      <w:r>
        <w:rPr>
          <w:rFonts w:hint="eastAsia" w:ascii="仿宋" w:hAnsi="仿宋" w:eastAsia="仿宋"/>
          <w:b/>
          <w:sz w:val="32"/>
          <w:szCs w:val="32"/>
          <w:lang w:val="zh-CN"/>
        </w:rPr>
        <w:t>（三）相关建议。</w:t>
      </w:r>
    </w:p>
    <w:p>
      <w:pPr>
        <w:pStyle w:val="2"/>
        <w:spacing w:before="93" w:line="540" w:lineRule="exact"/>
        <w:ind w:firstLine="640" w:firstLineChars="200"/>
        <w:rPr>
          <w:rFonts w:ascii="仿宋" w:hAnsi="仿宋" w:eastAsia="仿宋"/>
          <w:sz w:val="32"/>
          <w:szCs w:val="32"/>
          <w:lang w:val="zh-CN"/>
        </w:rPr>
      </w:pPr>
      <w:r>
        <w:rPr>
          <w:rFonts w:hint="eastAsia" w:ascii="仿宋" w:hAnsi="仿宋" w:eastAsia="仿宋"/>
          <w:sz w:val="32"/>
          <w:szCs w:val="32"/>
          <w:lang w:val="zh-CN"/>
        </w:rPr>
        <w:t>一是细化项目实施方案，完善整体统筹管理。对于项目单位制定完整、清晰的项目实施方案并针对项目存在的风险制定风险应对措施；二是参照往年项目实施情况，编制与项目内容相匹配的预算，强化项目内容与预算的匹配性。强对项目的监管与成本控制，提升项目精细化管理水平；三是加强工作验收考核效果，强化绩效管理意识，优化满意度调查工作。</w:t>
      </w:r>
    </w:p>
    <w:p>
      <w:pPr>
        <w:widowControl/>
        <w:jc w:val="left"/>
        <w:rPr>
          <w:rFonts w:ascii="仿宋" w:hAnsi="仿宋" w:eastAsia="仿宋" w:cs="方正小标宋简体"/>
          <w:sz w:val="32"/>
          <w:szCs w:val="32"/>
        </w:rPr>
      </w:pPr>
      <w:r>
        <w:rPr>
          <w:rFonts w:ascii="仿宋" w:hAnsi="仿宋" w:eastAsia="仿宋" w:cs="方正小标宋简体"/>
          <w:sz w:val="32"/>
          <w:szCs w:val="32"/>
        </w:rPr>
        <w:br w:type="page"/>
      </w:r>
    </w:p>
    <w:p>
      <w:pPr>
        <w:spacing w:line="578"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2023年市级专项资金预算项目绩效自评报告</w:t>
      </w:r>
    </w:p>
    <w:p>
      <w:pPr>
        <w:spacing w:line="578" w:lineRule="exact"/>
        <w:ind w:firstLine="640"/>
        <w:jc w:val="center"/>
        <w:rPr>
          <w:rFonts w:ascii="方正小标宋简体" w:hAnsi="宋体" w:eastAsia="方正小标宋简体"/>
          <w:sz w:val="28"/>
          <w:szCs w:val="28"/>
          <w:lang w:val="zh-CN"/>
        </w:rPr>
      </w:pPr>
      <w:r>
        <w:rPr>
          <w:rFonts w:hint="eastAsia" w:ascii="方正小标宋简体" w:hAnsi="宋体" w:eastAsia="方正小标宋简体"/>
          <w:sz w:val="28"/>
          <w:szCs w:val="28"/>
          <w:lang w:val="zh-CN"/>
        </w:rPr>
        <w:t>（业务运行费）</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一、项目概况</w:t>
      </w:r>
    </w:p>
    <w:p>
      <w:pPr>
        <w:adjustRightInd w:val="0"/>
        <w:snapToGrid w:val="0"/>
        <w:spacing w:line="540" w:lineRule="atLeast"/>
        <w:ind w:firstLine="720"/>
        <w:rPr>
          <w:rFonts w:ascii="仿宋" w:hAnsi="仿宋" w:eastAsia="仿宋"/>
          <w:b/>
          <w:sz w:val="32"/>
          <w:szCs w:val="32"/>
          <w:lang w:val="zh-CN"/>
        </w:rPr>
      </w:pPr>
      <w:r>
        <w:rPr>
          <w:rFonts w:hint="eastAsia" w:ascii="仿宋" w:hAnsi="仿宋" w:eastAsia="仿宋"/>
          <w:b/>
          <w:sz w:val="32"/>
          <w:szCs w:val="32"/>
          <w:lang w:val="zh-CN"/>
        </w:rPr>
        <w:t>（一）项目基本情况。</w:t>
      </w:r>
    </w:p>
    <w:p>
      <w:pPr>
        <w:pStyle w:val="2"/>
        <w:spacing w:before="93" w:line="540" w:lineRule="atLeast"/>
        <w:ind w:firstLine="640" w:firstLineChars="200"/>
        <w:rPr>
          <w:rFonts w:ascii="仿宋" w:hAnsi="仿宋" w:eastAsia="仿宋"/>
          <w:sz w:val="32"/>
          <w:szCs w:val="32"/>
          <w:lang w:val="zh-CN"/>
        </w:rPr>
      </w:pPr>
      <w:r>
        <w:rPr>
          <w:rFonts w:hint="eastAsia" w:ascii="仿宋" w:hAnsi="仿宋" w:eastAsia="仿宋"/>
          <w:sz w:val="32"/>
          <w:szCs w:val="32"/>
          <w:lang w:val="zh-CN"/>
        </w:rPr>
        <w:t>攀枝花市信访局办公业务楼（来访接待大厅）是群众来访接待主要场所，由于建成时间已久，房屋开始出现老化现象，水电等设施、设备维护成本增大。</w:t>
      </w:r>
    </w:p>
    <w:p>
      <w:pPr>
        <w:adjustRightInd w:val="0"/>
        <w:snapToGrid w:val="0"/>
        <w:spacing w:line="540" w:lineRule="atLeast"/>
        <w:ind w:firstLine="720"/>
        <w:rPr>
          <w:rFonts w:ascii="仿宋" w:hAnsi="仿宋" w:eastAsia="仿宋"/>
          <w:b/>
          <w:sz w:val="32"/>
          <w:szCs w:val="32"/>
          <w:lang w:val="zh-CN"/>
        </w:rPr>
      </w:pPr>
      <w:r>
        <w:rPr>
          <w:rFonts w:hint="eastAsia" w:ascii="仿宋" w:hAnsi="仿宋" w:eastAsia="仿宋"/>
          <w:b/>
          <w:sz w:val="32"/>
          <w:szCs w:val="32"/>
          <w:lang w:val="zh-CN"/>
        </w:rPr>
        <w:t>（二）项目绩效目标。</w:t>
      </w:r>
    </w:p>
    <w:p>
      <w:pPr>
        <w:pStyle w:val="2"/>
        <w:spacing w:before="93" w:line="540" w:lineRule="atLeast"/>
        <w:ind w:firstLine="640" w:firstLineChars="200"/>
        <w:rPr>
          <w:rFonts w:ascii="仿宋" w:hAnsi="仿宋" w:eastAsia="仿宋"/>
          <w:sz w:val="32"/>
          <w:szCs w:val="32"/>
          <w:lang w:val="zh-CN"/>
        </w:rPr>
      </w:pPr>
      <w:r>
        <w:rPr>
          <w:rFonts w:hint="eastAsia" w:ascii="仿宋" w:hAnsi="仿宋" w:eastAsia="仿宋"/>
          <w:sz w:val="32"/>
          <w:szCs w:val="32"/>
          <w:lang w:val="zh-CN"/>
        </w:rPr>
        <w:t>2022 年度，市信访局向市财政局申请设立办公业务运行费项目，旨在保障办公业务楼房屋建筑及设备设施正常运转，保证全市群众来访接待任务以及转送、交办、督办重要来访等事宜顺利开展。</w:t>
      </w:r>
    </w:p>
    <w:p>
      <w:pPr>
        <w:adjustRightInd w:val="0"/>
        <w:snapToGrid w:val="0"/>
        <w:spacing w:line="540" w:lineRule="atLeast"/>
        <w:ind w:firstLine="720"/>
        <w:rPr>
          <w:rFonts w:ascii="仿宋" w:hAnsi="仿宋" w:eastAsia="仿宋" w:cs="仿宋_GB2312"/>
          <w:kern w:val="0"/>
          <w:sz w:val="32"/>
          <w:szCs w:val="32"/>
          <w:shd w:val="clear" w:color="auto" w:fill="FFFFFF"/>
          <w:lang w:val="zh-CN"/>
        </w:rPr>
      </w:pPr>
      <w:r>
        <w:rPr>
          <w:rFonts w:hint="eastAsia" w:ascii="仿宋" w:hAnsi="仿宋" w:eastAsia="仿宋"/>
          <w:b/>
          <w:sz w:val="32"/>
          <w:szCs w:val="32"/>
          <w:lang w:val="zh-CN"/>
        </w:rPr>
        <w:t>（三）项目自评步骤及方法。</w:t>
      </w:r>
    </w:p>
    <w:p>
      <w:pPr>
        <w:widowControl/>
        <w:adjustRightInd w:val="0"/>
        <w:snapToGrid w:val="0"/>
        <w:spacing w:line="540" w:lineRule="atLeas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说明项目绩效自评采用的组织实施步骤及方法。项目绩效自评实施过程采用年初制定项目绩效目标，年中检查进度，项目结束评价总结，提出改进意见。</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二、项目资金申报及使用情况</w:t>
      </w:r>
    </w:p>
    <w:p>
      <w:pPr>
        <w:adjustRightInd w:val="0"/>
        <w:snapToGrid w:val="0"/>
        <w:spacing w:line="540" w:lineRule="atLeast"/>
        <w:ind w:firstLine="720"/>
        <w:rPr>
          <w:rFonts w:ascii="仿宋" w:hAnsi="仿宋" w:eastAsia="仿宋"/>
          <w:b/>
          <w:sz w:val="32"/>
          <w:szCs w:val="32"/>
          <w:lang w:val="zh-CN"/>
        </w:rPr>
      </w:pPr>
      <w:r>
        <w:rPr>
          <w:rFonts w:hint="eastAsia" w:ascii="仿宋" w:hAnsi="仿宋" w:eastAsia="仿宋"/>
          <w:b/>
          <w:sz w:val="32"/>
          <w:szCs w:val="32"/>
          <w:lang w:val="zh-CN"/>
        </w:rPr>
        <w:t>（一）项目资金申报及批复情况。</w:t>
      </w:r>
    </w:p>
    <w:p>
      <w:pPr>
        <w:widowControl/>
        <w:adjustRightInd w:val="0"/>
        <w:snapToGrid w:val="0"/>
        <w:spacing w:line="540" w:lineRule="atLeas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申报项目资金10万元，2022年实际批复下达项目资金8.18万元。</w:t>
      </w:r>
    </w:p>
    <w:p>
      <w:pPr>
        <w:adjustRightInd w:val="0"/>
        <w:snapToGrid w:val="0"/>
        <w:spacing w:line="540" w:lineRule="atLeast"/>
        <w:ind w:firstLine="720"/>
        <w:rPr>
          <w:rFonts w:ascii="仿宋" w:hAnsi="仿宋" w:eastAsia="仿宋"/>
          <w:sz w:val="32"/>
          <w:szCs w:val="32"/>
          <w:lang w:val="zh-CN"/>
        </w:rPr>
      </w:pPr>
      <w:r>
        <w:rPr>
          <w:rFonts w:hint="eastAsia" w:ascii="仿宋" w:hAnsi="仿宋" w:eastAsia="仿宋"/>
          <w:b/>
          <w:sz w:val="32"/>
          <w:szCs w:val="32"/>
          <w:lang w:val="zh-CN"/>
        </w:rPr>
        <w:t>（二）资金计划、到位及使用情况（可用表格形式反映）。</w:t>
      </w:r>
    </w:p>
    <w:p>
      <w:pPr>
        <w:widowControl/>
        <w:adjustRightInd w:val="0"/>
        <w:snapToGrid w:val="0"/>
        <w:spacing w:line="540" w:lineRule="atLeas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1．资金计划。</w:t>
      </w:r>
    </w:p>
    <w:p>
      <w:pPr>
        <w:pStyle w:val="2"/>
        <w:spacing w:before="93" w:line="540" w:lineRule="atLeast"/>
        <w:ind w:firstLine="640" w:firstLineChars="200"/>
        <w:rPr>
          <w:rFonts w:ascii="仿宋" w:hAnsi="仿宋" w:eastAsia="仿宋"/>
          <w:sz w:val="32"/>
          <w:szCs w:val="32"/>
          <w:lang w:val="zh-CN"/>
        </w:rPr>
      </w:pPr>
      <w:r>
        <w:rPr>
          <w:rFonts w:hint="eastAsia" w:ascii="仿宋" w:hAnsi="仿宋" w:eastAsia="仿宋"/>
          <w:sz w:val="32"/>
          <w:szCs w:val="32"/>
          <w:lang w:val="zh-CN"/>
        </w:rPr>
        <w:t>计划项目资金用于维修材料及消耗用品采购，办公楼水电维修、其他维修（如，机器人维修维护）等工作支出10万元。</w:t>
      </w:r>
    </w:p>
    <w:p>
      <w:pPr>
        <w:widowControl/>
        <w:adjustRightInd w:val="0"/>
        <w:snapToGrid w:val="0"/>
        <w:spacing w:line="540" w:lineRule="atLeas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2．资金到位。</w:t>
      </w:r>
    </w:p>
    <w:p>
      <w:pPr>
        <w:widowControl/>
        <w:adjustRightInd w:val="0"/>
        <w:snapToGrid w:val="0"/>
        <w:spacing w:line="540" w:lineRule="atLeas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在2022年年初下达业务运行费8.18万元。</w:t>
      </w:r>
    </w:p>
    <w:p>
      <w:pPr>
        <w:widowControl/>
        <w:adjustRightInd w:val="0"/>
        <w:snapToGrid w:val="0"/>
        <w:spacing w:line="540" w:lineRule="atLeas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3．资金使用。</w:t>
      </w:r>
    </w:p>
    <w:p>
      <w:pPr>
        <w:widowControl/>
        <w:adjustRightInd w:val="0"/>
        <w:snapToGrid w:val="0"/>
        <w:spacing w:line="540" w:lineRule="atLeas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已支付8.18万元，执行率100%。</w:t>
      </w:r>
    </w:p>
    <w:p>
      <w:pPr>
        <w:widowControl/>
        <w:adjustRightInd w:val="0"/>
        <w:snapToGrid w:val="0"/>
        <w:spacing w:line="540" w:lineRule="atLeast"/>
        <w:ind w:firstLine="642" w:firstLineChars="200"/>
        <w:contextualSpacing/>
        <w:jc w:val="left"/>
        <w:rPr>
          <w:rFonts w:ascii="仿宋" w:hAnsi="仿宋" w:eastAsia="仿宋"/>
          <w:b/>
          <w:sz w:val="32"/>
          <w:szCs w:val="32"/>
          <w:lang w:val="zh-CN"/>
        </w:rPr>
      </w:pPr>
      <w:r>
        <w:rPr>
          <w:rFonts w:hint="eastAsia" w:ascii="仿宋" w:hAnsi="仿宋" w:eastAsia="仿宋"/>
          <w:b/>
          <w:sz w:val="32"/>
          <w:szCs w:val="32"/>
          <w:lang w:val="zh-CN"/>
        </w:rPr>
        <w:t>（三）项目财务管理情况。</w:t>
      </w:r>
    </w:p>
    <w:p>
      <w:pPr>
        <w:adjustRightInd w:val="0"/>
        <w:snapToGrid w:val="0"/>
        <w:spacing w:line="540" w:lineRule="atLeas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项目实施单位财务管理制度健全，严格执行财务管理制度，账务处理及时，会计核算规范。</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三、项目实施及管理情况</w:t>
      </w:r>
    </w:p>
    <w:p>
      <w:pPr>
        <w:adjustRightInd w:val="0"/>
        <w:snapToGrid w:val="0"/>
        <w:spacing w:line="540" w:lineRule="atLeast"/>
        <w:ind w:firstLine="720"/>
        <w:rPr>
          <w:rFonts w:ascii="仿宋" w:hAnsi="仿宋" w:eastAsia="仿宋"/>
          <w:b/>
          <w:sz w:val="32"/>
          <w:szCs w:val="32"/>
          <w:lang w:val="zh-CN"/>
        </w:rPr>
      </w:pPr>
      <w:r>
        <w:rPr>
          <w:rFonts w:hint="eastAsia" w:ascii="仿宋" w:hAnsi="仿宋" w:eastAsia="仿宋"/>
          <w:b/>
          <w:sz w:val="32"/>
          <w:szCs w:val="32"/>
          <w:lang w:val="zh-CN"/>
        </w:rPr>
        <w:t>（一）项目组织架构及实施流程。</w:t>
      </w:r>
    </w:p>
    <w:p>
      <w:pPr>
        <w:adjustRightInd w:val="0"/>
        <w:snapToGrid w:val="0"/>
        <w:spacing w:line="540" w:lineRule="atLeas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攀枝花市信访局业务运行经费项目由局长为项目负责人，副局长及其他部门人员为本项目工作人员，负责协调处理项目方面的各项工作。在项目实施时，项目资金管理严格按制度执行，严格审批程序，确定上报项目。</w:t>
      </w:r>
    </w:p>
    <w:p>
      <w:pPr>
        <w:adjustRightInd w:val="0"/>
        <w:snapToGrid w:val="0"/>
        <w:spacing w:line="540" w:lineRule="atLeast"/>
        <w:ind w:firstLine="720"/>
        <w:rPr>
          <w:rFonts w:ascii="仿宋" w:hAnsi="仿宋" w:eastAsia="仿宋"/>
          <w:b/>
          <w:sz w:val="32"/>
          <w:szCs w:val="32"/>
          <w:lang w:val="zh-CN"/>
        </w:rPr>
      </w:pPr>
      <w:r>
        <w:rPr>
          <w:rFonts w:hint="eastAsia" w:ascii="仿宋" w:hAnsi="仿宋" w:eastAsia="仿宋"/>
          <w:b/>
          <w:sz w:val="32"/>
          <w:szCs w:val="32"/>
          <w:lang w:val="zh-CN"/>
        </w:rPr>
        <w:t>（二）项目管理情况。</w:t>
      </w:r>
    </w:p>
    <w:p>
      <w:pPr>
        <w:adjustRightInd w:val="0"/>
        <w:snapToGrid w:val="0"/>
        <w:spacing w:line="540" w:lineRule="atLeas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完善健全预算绩效管理制度，完成2022年度项目绩效目标设置工作。严格按照《攀枝花市信访局全面实施预算绩效管理的实施意见》、《攀枝花市市级预算事前绩效评估管理暂行办法》等制度进一步明确绩效管理工作职责。把该项目进行目标设置，为做好绩效评价工作奠定基础。</w:t>
      </w:r>
    </w:p>
    <w:p>
      <w:pPr>
        <w:adjustRightInd w:val="0"/>
        <w:snapToGrid w:val="0"/>
        <w:spacing w:line="540" w:lineRule="atLeast"/>
        <w:ind w:firstLine="720"/>
        <w:rPr>
          <w:rFonts w:ascii="仿宋" w:hAnsi="仿宋" w:eastAsia="仿宋"/>
          <w:b/>
          <w:sz w:val="32"/>
          <w:szCs w:val="32"/>
          <w:lang w:val="zh-CN"/>
        </w:rPr>
      </w:pPr>
      <w:r>
        <w:rPr>
          <w:rFonts w:hint="eastAsia" w:ascii="仿宋" w:hAnsi="仿宋" w:eastAsia="仿宋"/>
          <w:b/>
          <w:sz w:val="32"/>
          <w:szCs w:val="32"/>
          <w:lang w:val="zh-CN"/>
        </w:rPr>
        <w:t>（三）项目监管情况。</w:t>
      </w:r>
      <w:r>
        <w:rPr>
          <w:rFonts w:hint="eastAsia" w:ascii="仿宋" w:hAnsi="仿宋" w:eastAsia="仿宋"/>
          <w:b/>
          <w:color w:val="FF0000"/>
          <w:sz w:val="32"/>
          <w:szCs w:val="32"/>
          <w:lang w:val="zh-CN"/>
        </w:rPr>
        <w:t>　</w:t>
      </w:r>
    </w:p>
    <w:p>
      <w:pPr>
        <w:pStyle w:val="2"/>
        <w:spacing w:before="93" w:line="540" w:lineRule="atLeast"/>
        <w:ind w:firstLine="640" w:firstLineChars="200"/>
        <w:rPr>
          <w:rFonts w:ascii="仿宋" w:hAnsi="仿宋" w:eastAsia="仿宋"/>
          <w:sz w:val="32"/>
          <w:szCs w:val="32"/>
          <w:lang w:val="zh-CN"/>
        </w:rPr>
      </w:pPr>
      <w:r>
        <w:rPr>
          <w:rFonts w:hint="eastAsia" w:ascii="仿宋" w:hAnsi="仿宋" w:eastAsia="仿宋"/>
          <w:sz w:val="32"/>
          <w:szCs w:val="32"/>
          <w:lang w:val="zh-CN"/>
        </w:rPr>
        <w:t>对2022年预算执行过程开展绩效运行监控。通过绩效运行跟踪监督机制，进一步增强支出责任和效率意识，积极构建贯穿预算编制、执行、监督全过程的预算绩效管理体制，提高财政资金使用绩效和科学化精细化管理水平。</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四、项目绩效情况</w:t>
      </w:r>
      <w:r>
        <w:rPr>
          <w:rFonts w:hint="eastAsia" w:ascii="黑体" w:hAnsi="宋体" w:eastAsia="黑体"/>
          <w:sz w:val="32"/>
          <w:szCs w:val="32"/>
          <w:lang w:val="zh-CN"/>
        </w:rPr>
        <w:tab/>
      </w:r>
    </w:p>
    <w:p>
      <w:pPr>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（一）项目完成情况。</w:t>
      </w:r>
    </w:p>
    <w:p>
      <w:pPr>
        <w:pStyle w:val="2"/>
        <w:spacing w:before="93" w:line="540" w:lineRule="exact"/>
        <w:ind w:firstLine="640" w:firstLineChars="200"/>
        <w:rPr>
          <w:rFonts w:ascii="仿宋" w:hAnsi="仿宋" w:eastAsia="仿宋"/>
          <w:sz w:val="32"/>
          <w:szCs w:val="32"/>
          <w:lang w:val="zh-CN"/>
        </w:rPr>
      </w:pPr>
      <w:r>
        <w:rPr>
          <w:rFonts w:hint="eastAsia" w:ascii="仿宋" w:hAnsi="仿宋" w:eastAsia="仿宋"/>
          <w:sz w:val="32"/>
          <w:szCs w:val="32"/>
          <w:lang w:val="zh-CN"/>
        </w:rPr>
        <w:t>数量指标：多次组织召开信访联席会议、信访事项协调会议；多次组织信访业干部到省信访局、市（州）学习信访工作经验；到基层对国家信访局、省信访局交办的信访案件及信访积案办结化解情况进行督导检查；拓宽网上信访渠道，开通</w:t>
      </w:r>
      <w:r>
        <w:rPr>
          <w:rFonts w:ascii="仿宋" w:hAnsi="仿宋" w:eastAsia="仿宋"/>
          <w:sz w:val="32"/>
          <w:szCs w:val="32"/>
          <w:lang w:val="zh-CN"/>
        </w:rPr>
        <w:t>人民网地方留言板、省委书记信箱、省长信箱、国投平台、省投平台、网格化、市长信箱、问政四川、麻辣社区等网上平台</w:t>
      </w:r>
      <w:r>
        <w:rPr>
          <w:rFonts w:hint="eastAsia" w:ascii="仿宋" w:hAnsi="仿宋" w:eastAsia="仿宋"/>
          <w:sz w:val="32"/>
          <w:szCs w:val="32"/>
          <w:lang w:val="zh-CN"/>
        </w:rPr>
        <w:t>。</w:t>
      </w:r>
    </w:p>
    <w:p>
      <w:pPr>
        <w:pStyle w:val="2"/>
        <w:spacing w:before="93" w:line="540" w:lineRule="exact"/>
        <w:ind w:firstLine="640" w:firstLineChars="200"/>
        <w:rPr>
          <w:rFonts w:ascii="仿宋" w:hAnsi="仿宋" w:eastAsia="仿宋"/>
          <w:sz w:val="32"/>
          <w:szCs w:val="32"/>
          <w:lang w:val="zh-CN"/>
        </w:rPr>
      </w:pPr>
      <w:r>
        <w:rPr>
          <w:rFonts w:hint="eastAsia" w:ascii="仿宋" w:hAnsi="仿宋" w:eastAsia="仿宋"/>
          <w:sz w:val="32"/>
          <w:szCs w:val="32"/>
          <w:lang w:val="zh-CN"/>
        </w:rPr>
        <w:t>成本指标：督导检查交办信访案件及积案37件；处理三跨三分离信访案件；维护信访大厅机器人资金2万元；业务运行费8.18万元。</w:t>
      </w:r>
    </w:p>
    <w:p>
      <w:pPr>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（二）项目效益情况。</w:t>
      </w:r>
    </w:p>
    <w:p>
      <w:pPr>
        <w:widowControl/>
        <w:snapToGrid w:val="0"/>
        <w:spacing w:line="540" w:lineRule="exact"/>
        <w:ind w:firstLine="640" w:firstLineChars="200"/>
        <w:contextualSpacing/>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经济效益：助力全市经济发展，保障社会安全稳定。</w:t>
      </w:r>
    </w:p>
    <w:p>
      <w:pPr>
        <w:widowControl/>
        <w:snapToGrid w:val="0"/>
        <w:spacing w:line="540" w:lineRule="exact"/>
        <w:ind w:firstLine="640" w:firstLineChars="200"/>
        <w:contextualSpacing/>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社会效益：缓解社会矛盾，促进社会和谐稳定。</w:t>
      </w:r>
    </w:p>
    <w:p>
      <w:pPr>
        <w:widowControl/>
        <w:snapToGrid w:val="0"/>
        <w:spacing w:line="540" w:lineRule="exact"/>
        <w:ind w:firstLine="640" w:firstLineChars="200"/>
        <w:contextualSpacing/>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可持续影响：确保部门正常运转。</w:t>
      </w:r>
    </w:p>
    <w:p>
      <w:pPr>
        <w:widowControl/>
        <w:snapToGrid w:val="0"/>
        <w:spacing w:line="540" w:lineRule="exact"/>
        <w:ind w:firstLine="640" w:firstLineChars="200"/>
        <w:contextualSpacing/>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rPr>
        <w:t>满意度指标：群众满意度95%以上。</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五、评价结论及建议</w:t>
      </w:r>
    </w:p>
    <w:p>
      <w:pPr>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（一）评价结论。</w:t>
      </w:r>
    </w:p>
    <w:p>
      <w:pPr>
        <w:snapToGrid w:val="0"/>
        <w:spacing w:line="54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在项目资金的使用上严格执行财务管理制度，核算规范，账务清晰，达到了预期目标，提升了信访工作水平，为我市高质量发展提供了和谐稳定发展环境。</w:t>
      </w:r>
    </w:p>
    <w:p>
      <w:pPr>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（二）存在的问题。</w:t>
      </w:r>
      <w:r>
        <w:rPr>
          <w:rFonts w:hint="eastAsia" w:ascii="仿宋" w:hAnsi="仿宋" w:eastAsia="仿宋" w:cs="仿宋_GB2312"/>
          <w:kern w:val="0"/>
          <w:sz w:val="32"/>
          <w:szCs w:val="32"/>
          <w:shd w:val="clear" w:color="auto" w:fill="FFFFFF"/>
          <w:lang w:val="zh-CN"/>
        </w:rPr>
        <w:t>无</w:t>
      </w:r>
    </w:p>
    <w:p>
      <w:pPr>
        <w:adjustRightInd w:val="0"/>
        <w:snapToGrid w:val="0"/>
        <w:spacing w:line="540" w:lineRule="atLeast"/>
        <w:ind w:firstLine="720"/>
        <w:rPr>
          <w:rFonts w:ascii="仿宋" w:hAnsi="仿宋" w:eastAsia="仿宋" w:cs="仿宋_GB2312"/>
          <w:kern w:val="0"/>
          <w:sz w:val="32"/>
          <w:szCs w:val="32"/>
          <w:shd w:val="clear" w:color="auto" w:fill="FFFFFF"/>
          <w:lang w:val="zh-CN"/>
        </w:rPr>
      </w:pPr>
      <w:r>
        <w:rPr>
          <w:rFonts w:hint="eastAsia" w:ascii="仿宋" w:hAnsi="仿宋" w:eastAsia="仿宋"/>
          <w:b/>
          <w:sz w:val="32"/>
          <w:szCs w:val="32"/>
          <w:lang w:val="zh-CN"/>
        </w:rPr>
        <w:t>（三）相关建议。</w:t>
      </w:r>
      <w:r>
        <w:rPr>
          <w:rFonts w:hint="eastAsia" w:ascii="仿宋" w:hAnsi="仿宋" w:eastAsia="仿宋" w:cs="仿宋_GB2312"/>
          <w:kern w:val="0"/>
          <w:sz w:val="32"/>
          <w:szCs w:val="32"/>
          <w:shd w:val="clear" w:color="auto" w:fill="FFFFFF"/>
          <w:lang w:val="zh-CN"/>
        </w:rPr>
        <w:t>无</w:t>
      </w:r>
      <w:r>
        <w:rPr>
          <w:rFonts w:ascii="方正小标宋简体" w:hAnsi="方正小标宋简体" w:eastAsia="方正小标宋简体" w:cs="方正小标宋简体"/>
          <w:sz w:val="32"/>
          <w:szCs w:val="32"/>
        </w:rPr>
        <w:br w:type="page"/>
      </w:r>
    </w:p>
    <w:p>
      <w:pPr>
        <w:spacing w:line="578"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2023年市级专项资金预算项目绩效自评报告</w:t>
      </w:r>
    </w:p>
    <w:p>
      <w:pPr>
        <w:spacing w:line="578" w:lineRule="exact"/>
        <w:ind w:firstLine="640"/>
        <w:jc w:val="center"/>
        <w:rPr>
          <w:rFonts w:ascii="方正小标宋简体" w:hAnsi="宋体" w:eastAsia="方正小标宋简体"/>
          <w:sz w:val="28"/>
          <w:szCs w:val="28"/>
          <w:lang w:val="zh-CN"/>
        </w:rPr>
      </w:pPr>
      <w:r>
        <w:rPr>
          <w:rFonts w:hint="eastAsia" w:ascii="方正小标宋简体" w:hAnsi="宋体" w:eastAsia="方正小标宋简体"/>
          <w:sz w:val="28"/>
          <w:szCs w:val="28"/>
          <w:lang w:val="zh-CN"/>
        </w:rPr>
        <w:t>（保安服务费）</w:t>
      </w:r>
      <w:r>
        <w:rPr>
          <w:rFonts w:ascii="楷体_GB2312" w:hAnsi="宋体" w:eastAsia="楷体_GB2312"/>
          <w:b/>
          <w:sz w:val="32"/>
          <w:szCs w:val="32"/>
          <w:lang w:val="zh-CN"/>
        </w:rPr>
        <w:tab/>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（一）项目基本情况。</w:t>
      </w:r>
    </w:p>
    <w:p>
      <w:pPr>
        <w:adjustRightInd w:val="0"/>
        <w:snapToGrid w:val="0"/>
        <w:spacing w:line="60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市委办公室于2019年通过政府采购，确定攀枝花市恒卫保安服务有限公司为后勤安保外包服务采购项目实施单位，并于其签订了保安服务合同，统一将市信访局安保服务工作纳入其中。</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（二）项目绩效目标。</w:t>
      </w:r>
    </w:p>
    <w:p>
      <w:pPr>
        <w:adjustRightInd w:val="0"/>
        <w:snapToGrid w:val="0"/>
        <w:spacing w:line="60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按照服务合同，安保公司向市信访局提供规范、科学、高效的服务，保证办公环境安全，并通过持续的改进和提升，维护办公楼的良好秩序。</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（三）项目自评步骤及方法。</w:t>
      </w:r>
    </w:p>
    <w:p>
      <w:pPr>
        <w:widowControl/>
        <w:adjustRightInd w:val="0"/>
        <w:snapToGrid w:val="0"/>
        <w:spacing w:line="578"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项目绩效自评实施过程采用年初制定项目绩效目标，年中检查进度，项目结束评价总结，提出改进意见。</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二、项目资金申报及使用情况</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（一）项目资金申报及批复情况。</w:t>
      </w:r>
    </w:p>
    <w:p>
      <w:pPr>
        <w:widowControl/>
        <w:adjustRightInd w:val="0"/>
        <w:snapToGrid w:val="0"/>
        <w:spacing w:line="578"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申报项目资金26.64万元，2022年实际批复下达项目资金14万元。</w:t>
      </w:r>
    </w:p>
    <w:p>
      <w:pPr>
        <w:adjustRightInd w:val="0"/>
        <w:snapToGrid w:val="0"/>
        <w:spacing w:line="578" w:lineRule="exact"/>
        <w:ind w:firstLine="720"/>
        <w:rPr>
          <w:rFonts w:ascii="仿宋" w:hAnsi="仿宋" w:eastAsia="仿宋"/>
          <w:sz w:val="32"/>
          <w:szCs w:val="32"/>
          <w:lang w:val="zh-CN"/>
        </w:rPr>
      </w:pPr>
      <w:r>
        <w:rPr>
          <w:rFonts w:hint="eastAsia" w:ascii="仿宋" w:hAnsi="仿宋" w:eastAsia="仿宋"/>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1．资金计划。</w:t>
      </w:r>
    </w:p>
    <w:p>
      <w:pPr>
        <w:pStyle w:val="2"/>
        <w:spacing w:before="93"/>
        <w:ind w:firstLine="640" w:firstLineChars="200"/>
        <w:rPr>
          <w:rFonts w:ascii="仿宋" w:hAnsi="仿宋" w:eastAsia="仿宋"/>
          <w:sz w:val="32"/>
          <w:szCs w:val="32"/>
          <w:lang w:val="zh-CN"/>
        </w:rPr>
      </w:pPr>
      <w:r>
        <w:rPr>
          <w:rFonts w:hint="eastAsia" w:ascii="仿宋" w:hAnsi="仿宋" w:eastAsia="仿宋"/>
          <w:sz w:val="32"/>
          <w:szCs w:val="32"/>
          <w:lang w:val="zh-CN"/>
        </w:rPr>
        <w:t>计划项目资金用于支付安保人员的劳务费。</w:t>
      </w:r>
    </w:p>
    <w:p>
      <w:pPr>
        <w:widowControl/>
        <w:adjustRightInd w:val="0"/>
        <w:snapToGrid w:val="0"/>
        <w:spacing w:line="578" w:lineRule="exact"/>
        <w:ind w:firstLine="640" w:firstLineChars="200"/>
        <w:contextualSpacing/>
        <w:jc w:val="left"/>
        <w:rPr>
          <w:rFonts w:ascii="仿宋" w:hAnsi="仿宋" w:eastAsia="仿宋" w:cs="仿宋_GB2312"/>
          <w:color w:val="FF0000"/>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2．资金到位。</w:t>
      </w:r>
    </w:p>
    <w:p>
      <w:pPr>
        <w:widowControl/>
        <w:adjustRightInd w:val="0"/>
        <w:snapToGrid w:val="0"/>
        <w:spacing w:line="578"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在2022年年初下达保安服务费14万元。</w:t>
      </w:r>
    </w:p>
    <w:p>
      <w:pPr>
        <w:widowControl/>
        <w:adjustRightInd w:val="0"/>
        <w:snapToGrid w:val="0"/>
        <w:spacing w:line="578"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3．资金使用。</w:t>
      </w:r>
    </w:p>
    <w:p>
      <w:pPr>
        <w:widowControl/>
        <w:adjustRightInd w:val="0"/>
        <w:snapToGrid w:val="0"/>
        <w:spacing w:line="578"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已支付14万元，执行率100%。</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（三）项目财务管理情况。</w:t>
      </w:r>
    </w:p>
    <w:p>
      <w:pPr>
        <w:adjustRightInd w:val="0"/>
        <w:snapToGrid w:val="0"/>
        <w:spacing w:line="60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项目实施单位财务管理制度健全，严格执行财务管理制度，账务处理及时，会计核算规范。</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三、项目实施及管理情况</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（一）项目组织架构及实施流程。</w:t>
      </w:r>
    </w:p>
    <w:p>
      <w:pPr>
        <w:adjustRightInd w:val="0"/>
        <w:snapToGrid w:val="0"/>
        <w:spacing w:line="60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攀枝花市信访局严格按照相关规定对保安服务费进行资金落实、业务管理、财务管理、项目产出、项目效益等方面进行实施。</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（二）项目管理情况。</w:t>
      </w:r>
    </w:p>
    <w:p>
      <w:pPr>
        <w:pStyle w:val="2"/>
        <w:spacing w:before="93" w:line="600" w:lineRule="exact"/>
        <w:ind w:firstLine="640" w:firstLineChars="200"/>
        <w:rPr>
          <w:rFonts w:ascii="仿宋" w:hAnsi="仿宋" w:eastAsia="仿宋"/>
          <w:lang w:val="zh-CN"/>
        </w:rPr>
      </w:pPr>
      <w:r>
        <w:rPr>
          <w:rFonts w:hint="eastAsia" w:ascii="仿宋" w:hAnsi="仿宋" w:eastAsia="仿宋" w:cs="仿宋_GB2312"/>
          <w:sz w:val="32"/>
          <w:szCs w:val="32"/>
          <w:shd w:val="clear" w:color="auto" w:fill="FFFFFF"/>
          <w:lang w:val="zh-CN"/>
        </w:rPr>
        <w:t>攀枝花市信访局严格执行相关法律法规及项目管理制度，确保项目资金专款用于保安服务，对资金使用的安全性、规范性及有效性进行重点分析。</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（三）项目监管情况。</w:t>
      </w:r>
    </w:p>
    <w:p>
      <w:pPr>
        <w:pStyle w:val="2"/>
        <w:spacing w:before="93" w:line="600" w:lineRule="exact"/>
        <w:ind w:firstLine="640" w:firstLineChars="200"/>
        <w:rPr>
          <w:rFonts w:ascii="仿宋" w:hAnsi="仿宋" w:eastAsia="仿宋" w:cs="仿宋_GB2312"/>
          <w:sz w:val="32"/>
          <w:szCs w:val="32"/>
          <w:shd w:val="clear" w:color="auto" w:fill="FFFFFF"/>
          <w:lang w:val="zh-CN"/>
        </w:rPr>
      </w:pPr>
      <w:r>
        <w:rPr>
          <w:rFonts w:hint="eastAsia" w:ascii="仿宋" w:hAnsi="仿宋" w:eastAsia="仿宋" w:cs="仿宋_GB2312"/>
          <w:sz w:val="32"/>
          <w:szCs w:val="32"/>
          <w:shd w:val="clear" w:color="auto" w:fill="FFFFFF"/>
          <w:lang w:val="zh-CN"/>
        </w:rPr>
        <w:t>根据保安服务费使用范围和项目开展的需要据实核查项目资金，确保资金使用规范合理。</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四、项目绩效情况</w:t>
      </w:r>
      <w:r>
        <w:rPr>
          <w:rFonts w:hint="eastAsia" w:ascii="黑体" w:hAnsi="宋体" w:eastAsia="黑体"/>
          <w:sz w:val="32"/>
          <w:szCs w:val="32"/>
          <w:lang w:val="zh-CN"/>
        </w:rPr>
        <w:tab/>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（一）项目完成情况。</w:t>
      </w:r>
    </w:p>
    <w:p>
      <w:pPr>
        <w:adjustRightInd w:val="0"/>
        <w:snapToGrid w:val="0"/>
        <w:spacing w:line="600" w:lineRule="exact"/>
        <w:ind w:firstLine="72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该项目在上级有关部门的关心、帮助下，顺利推进，圆满完成目标任务。2022年全年市信访局配备保安人员6名，维护接访大厅信访秩序和办公大楼安全；完成质量高，保障信访工作规范有序开展，提高信访干部工作效率。</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（二）项目效益情况。</w:t>
      </w:r>
    </w:p>
    <w:p>
      <w:pPr>
        <w:adjustRightInd w:val="0"/>
        <w:snapToGrid w:val="0"/>
        <w:spacing w:line="600" w:lineRule="exact"/>
        <w:ind w:firstLine="72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全年保安工作正常开展,为信访工作人员办公提供了安全保障,</w:t>
      </w:r>
      <w:r>
        <w:rPr>
          <w:rFonts w:hint="eastAsia" w:ascii="仿宋" w:hAnsi="仿宋" w:eastAsia="仿宋"/>
        </w:rPr>
        <w:t xml:space="preserve"> </w:t>
      </w:r>
      <w:r>
        <w:rPr>
          <w:rFonts w:hint="eastAsia" w:ascii="仿宋" w:hAnsi="仿宋" w:eastAsia="仿宋" w:cs="仿宋_GB2312"/>
          <w:kern w:val="0"/>
          <w:sz w:val="32"/>
          <w:szCs w:val="32"/>
          <w:shd w:val="clear" w:color="auto" w:fill="FFFFFF"/>
        </w:rPr>
        <w:t>维护机关工作秩序，保障信访工作规范有序开展，提高信访干部工作效率，更好地为群众解难，为党委分忧，维护社会和谐稳定，公众满意度不断提高，推动社会可持续发展。</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五、评价结论及建议</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（一）评价结论。</w:t>
      </w:r>
    </w:p>
    <w:p>
      <w:pPr>
        <w:adjustRightInd w:val="0"/>
        <w:snapToGrid w:val="0"/>
        <w:spacing w:line="60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在项目资金的使用上严格执行财务管理制度，核算规范，账务清晰，达到了预期目标，提升了信访工作水平，为我市高质量发展提供了和谐稳定发展环境。</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（二）存在的问题。</w:t>
      </w:r>
      <w:r>
        <w:rPr>
          <w:rFonts w:hint="eastAsia" w:ascii="仿宋" w:hAnsi="仿宋" w:eastAsia="仿宋" w:cs="仿宋_GB2312"/>
          <w:kern w:val="0"/>
          <w:sz w:val="32"/>
          <w:szCs w:val="32"/>
          <w:shd w:val="clear" w:color="auto" w:fill="FFFFFF"/>
          <w:lang w:val="zh-CN"/>
        </w:rPr>
        <w:t>无</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（三）相关建议。</w:t>
      </w:r>
      <w:r>
        <w:rPr>
          <w:rFonts w:hint="eastAsia" w:ascii="仿宋" w:hAnsi="仿宋" w:eastAsia="仿宋" w:cs="宋体"/>
          <w:sz w:val="32"/>
          <w:szCs w:val="32"/>
          <w:shd w:val="clear" w:color="auto" w:fill="FFFFFF"/>
          <w:lang w:val="zh-CN"/>
        </w:rPr>
        <w:t>无</w:t>
      </w:r>
    </w:p>
    <w:p>
      <w:pPr>
        <w:pStyle w:val="2"/>
        <w:spacing w:before="93"/>
        <w:rPr>
          <w:rFonts w:ascii="仿宋" w:hAnsi="仿宋" w:eastAsia="仿宋" w:cs="宋体"/>
          <w:sz w:val="32"/>
          <w:szCs w:val="32"/>
          <w:shd w:val="clear" w:color="auto" w:fill="FFFFFF"/>
          <w:lang w:val="zh-CN"/>
        </w:rPr>
      </w:pPr>
      <w:r>
        <w:rPr>
          <w:rFonts w:ascii="仿宋" w:hAnsi="仿宋" w:eastAsia="仿宋" w:cs="宋体"/>
          <w:sz w:val="32"/>
          <w:szCs w:val="32"/>
          <w:shd w:val="clear" w:color="auto" w:fill="FFFFFF"/>
          <w:lang w:val="zh-CN"/>
        </w:rPr>
        <w:br w:type="page"/>
      </w:r>
    </w:p>
    <w:p>
      <w:pPr>
        <w:pStyle w:val="2"/>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3</w:t>
      </w:r>
    </w:p>
    <w:p>
      <w:pPr>
        <w:pStyle w:val="36"/>
        <w:spacing w:line="578" w:lineRule="exact"/>
        <w:jc w:val="center"/>
        <w:rPr>
          <w:rStyle w:val="30"/>
          <w:rFonts w:ascii="黑体" w:hAnsi="黑体" w:eastAsia="黑体"/>
          <w:b w:val="0"/>
        </w:rPr>
      </w:pPr>
      <w:r>
        <w:rPr>
          <w:rFonts w:hint="eastAsia" w:ascii="方正小标宋简体" w:hAnsi="方正小标宋简体" w:eastAsia="方正小标宋简体" w:cs="方正小标宋简体"/>
          <w:bCs/>
          <w:color w:val="auto"/>
          <w:kern w:val="2"/>
          <w:sz w:val="32"/>
          <w:szCs w:val="32"/>
          <w:lang w:val="en-US"/>
        </w:rPr>
        <w:t>部门预算项目支出绩效自评表</w:t>
      </w:r>
    </w:p>
    <w:p>
      <w:pPr>
        <w:widowControl/>
        <w:jc w:val="left"/>
        <w:rPr>
          <w:rStyle w:val="30"/>
          <w:rFonts w:ascii="黑体" w:hAnsi="黑体" w:eastAsia="黑体"/>
          <w:b w:val="0"/>
        </w:rPr>
      </w:pPr>
      <w:r>
        <w:rPr>
          <w:rStyle w:val="30"/>
          <w:rFonts w:ascii="黑体" w:hAnsi="黑体" w:eastAsia="黑体"/>
          <w:b w:val="0"/>
        </w:rPr>
        <w:br w:type="page"/>
      </w:r>
    </w:p>
    <w:p>
      <w:pPr>
        <w:spacing w:line="600" w:lineRule="exact"/>
        <w:jc w:val="center"/>
        <w:outlineLvl w:val="0"/>
        <w:rPr>
          <w:rFonts w:ascii="仿宋" w:hAnsi="仿宋" w:eastAsia="仿宋"/>
        </w:rPr>
      </w:pPr>
      <w:bookmarkStart w:id="53" w:name="_Toc15396618"/>
      <w:r>
        <w:rPr>
          <w:rFonts w:hint="eastAsia" w:ascii="黑体" w:hAnsi="黑体" w:eastAsia="黑体"/>
          <w:sz w:val="44"/>
          <w:szCs w:val="44"/>
        </w:rPr>
        <w:t>第</w:t>
      </w:r>
      <w:r>
        <w:rPr>
          <w:rStyle w:val="30"/>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31"/>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31"/>
          <w:rFonts w:hint="eastAsia" w:ascii="仿宋" w:hAnsi="仿宋" w:eastAsia="仿宋"/>
          <w:b w:val="0"/>
          <w:bCs w:val="0"/>
        </w:rPr>
        <w:t>入决算表</w:t>
      </w:r>
      <w:bookmarkEnd w:id="55"/>
    </w:p>
    <w:p>
      <w:pPr>
        <w:pStyle w:val="4"/>
        <w:rPr>
          <w:rFonts w:ascii="仿宋" w:hAnsi="仿宋" w:eastAsia="仿宋"/>
        </w:rPr>
      </w:pPr>
      <w:bookmarkStart w:id="56" w:name="_Toc15396621"/>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57"/>
    </w:p>
    <w:p>
      <w:pPr>
        <w:pStyle w:val="4"/>
        <w:rPr>
          <w:rStyle w:val="31"/>
          <w:rFonts w:ascii="仿宋" w:hAnsi="仿宋" w:eastAsia="仿宋"/>
          <w:b w:val="0"/>
          <w:bCs w:val="0"/>
        </w:rPr>
      </w:pPr>
      <w:bookmarkStart w:id="58" w:name="_Toc1539662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31"/>
          <w:rFonts w:hint="eastAsia" w:ascii="仿宋" w:hAnsi="仿宋" w:eastAsia="仿宋"/>
          <w:b w:val="0"/>
          <w:bCs w:val="0"/>
        </w:rPr>
        <w:t>十、</w:t>
      </w:r>
      <w:bookmarkEnd w:id="63"/>
      <w:r>
        <w:rPr>
          <w:rFonts w:hint="eastAsia" w:ascii="仿宋" w:hAnsi="仿宋" w:eastAsia="仿宋"/>
          <w:b w:val="0"/>
        </w:rPr>
        <w:t>政</w:t>
      </w:r>
      <w:r>
        <w:rPr>
          <w:rStyle w:val="31"/>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31"/>
          <w:rFonts w:hint="eastAsia" w:ascii="仿宋" w:hAnsi="仿宋" w:eastAsia="仿宋"/>
          <w:b w:val="0"/>
          <w:bCs w:val="0"/>
        </w:rPr>
        <w:t>十一、</w:t>
      </w:r>
      <w:bookmarkEnd w:id="64"/>
      <w:r>
        <w:rPr>
          <w:rFonts w:hint="eastAsia" w:ascii="仿宋" w:hAnsi="仿宋" w:eastAsia="仿宋"/>
          <w:b w:val="0"/>
        </w:rPr>
        <w:t>国</w:t>
      </w:r>
      <w:r>
        <w:rPr>
          <w:rStyle w:val="31"/>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31"/>
          <w:rFonts w:hint="eastAsia" w:ascii="仿宋" w:hAnsi="仿宋" w:eastAsia="仿宋"/>
          <w:b w:val="0"/>
          <w:bCs w:val="0"/>
        </w:rPr>
        <w:t>十二、</w:t>
      </w:r>
      <w:bookmarkEnd w:id="65"/>
      <w:r>
        <w:rPr>
          <w:rStyle w:val="31"/>
          <w:rFonts w:hint="eastAsia" w:ascii="仿宋" w:hAnsi="仿宋" w:eastAsia="仿宋"/>
          <w:b w:val="0"/>
          <w:bCs w:val="0"/>
        </w:rPr>
        <w:t>国有资本经营预算财政拨款支出决算表</w:t>
      </w:r>
    </w:p>
    <w:p>
      <w:pPr>
        <w:pStyle w:val="4"/>
        <w:rPr>
          <w:rFonts w:eastAsia="仿宋"/>
        </w:rPr>
      </w:pPr>
      <w:bookmarkStart w:id="66" w:name="_Toc15396631"/>
      <w:r>
        <w:rPr>
          <w:rStyle w:val="31"/>
          <w:rFonts w:hint="eastAsia" w:ascii="仿宋" w:hAnsi="仿宋" w:eastAsia="仿宋"/>
          <w:b w:val="0"/>
          <w:bCs w:val="0"/>
        </w:rPr>
        <w:t>十三、</w:t>
      </w:r>
      <w:bookmarkEnd w:id="66"/>
      <w:r>
        <w:rPr>
          <w:rStyle w:val="31"/>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等线">
    <w:altName w:val="仿宋"/>
    <w:panose1 w:val="00000000000000000000"/>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4780840"/>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2ED3"/>
    <w:rsid w:val="000051E4"/>
    <w:rsid w:val="00012B93"/>
    <w:rsid w:val="00012F9C"/>
    <w:rsid w:val="0001489B"/>
    <w:rsid w:val="00016DD1"/>
    <w:rsid w:val="00021CCA"/>
    <w:rsid w:val="000222C6"/>
    <w:rsid w:val="000235D3"/>
    <w:rsid w:val="00024E18"/>
    <w:rsid w:val="0002549F"/>
    <w:rsid w:val="000325D2"/>
    <w:rsid w:val="000345BA"/>
    <w:rsid w:val="0003526F"/>
    <w:rsid w:val="0003712A"/>
    <w:rsid w:val="000468DB"/>
    <w:rsid w:val="000547E4"/>
    <w:rsid w:val="00060B15"/>
    <w:rsid w:val="0006487A"/>
    <w:rsid w:val="00065DF6"/>
    <w:rsid w:val="00065F8F"/>
    <w:rsid w:val="00067B0D"/>
    <w:rsid w:val="000700B5"/>
    <w:rsid w:val="00070A43"/>
    <w:rsid w:val="00072385"/>
    <w:rsid w:val="00072FC8"/>
    <w:rsid w:val="000768F2"/>
    <w:rsid w:val="00080270"/>
    <w:rsid w:val="000856F3"/>
    <w:rsid w:val="0009184B"/>
    <w:rsid w:val="00094236"/>
    <w:rsid w:val="0009593C"/>
    <w:rsid w:val="00097322"/>
    <w:rsid w:val="000A0B38"/>
    <w:rsid w:val="000A61E4"/>
    <w:rsid w:val="000A6A92"/>
    <w:rsid w:val="000A7B14"/>
    <w:rsid w:val="000B0090"/>
    <w:rsid w:val="000B047F"/>
    <w:rsid w:val="000B17A7"/>
    <w:rsid w:val="000B18AF"/>
    <w:rsid w:val="000B5923"/>
    <w:rsid w:val="000B5A48"/>
    <w:rsid w:val="000B5AA1"/>
    <w:rsid w:val="000B6FF3"/>
    <w:rsid w:val="000C3467"/>
    <w:rsid w:val="000C3CA6"/>
    <w:rsid w:val="000C53CF"/>
    <w:rsid w:val="000C5A1D"/>
    <w:rsid w:val="000C6118"/>
    <w:rsid w:val="000D0469"/>
    <w:rsid w:val="000D088E"/>
    <w:rsid w:val="000D1267"/>
    <w:rsid w:val="000D1D50"/>
    <w:rsid w:val="000D5782"/>
    <w:rsid w:val="000E4C1E"/>
    <w:rsid w:val="000E591E"/>
    <w:rsid w:val="000E6613"/>
    <w:rsid w:val="000E6EB1"/>
    <w:rsid w:val="000E6F14"/>
    <w:rsid w:val="000E7119"/>
    <w:rsid w:val="000F318E"/>
    <w:rsid w:val="000F359A"/>
    <w:rsid w:val="000F6B10"/>
    <w:rsid w:val="00101721"/>
    <w:rsid w:val="00104E0E"/>
    <w:rsid w:val="00114E9B"/>
    <w:rsid w:val="0012047A"/>
    <w:rsid w:val="00124DB0"/>
    <w:rsid w:val="001303A7"/>
    <w:rsid w:val="00130996"/>
    <w:rsid w:val="00135207"/>
    <w:rsid w:val="00136D0C"/>
    <w:rsid w:val="00140859"/>
    <w:rsid w:val="00142216"/>
    <w:rsid w:val="0014373E"/>
    <w:rsid w:val="00144D6A"/>
    <w:rsid w:val="001461BA"/>
    <w:rsid w:val="0014729F"/>
    <w:rsid w:val="0015406C"/>
    <w:rsid w:val="00157BAB"/>
    <w:rsid w:val="001640B0"/>
    <w:rsid w:val="00164B58"/>
    <w:rsid w:val="001654D1"/>
    <w:rsid w:val="0016644B"/>
    <w:rsid w:val="00174518"/>
    <w:rsid w:val="00180EF6"/>
    <w:rsid w:val="0018106D"/>
    <w:rsid w:val="001877A7"/>
    <w:rsid w:val="00191536"/>
    <w:rsid w:val="001917B7"/>
    <w:rsid w:val="00196687"/>
    <w:rsid w:val="001A49ED"/>
    <w:rsid w:val="001B17C9"/>
    <w:rsid w:val="001B3C7B"/>
    <w:rsid w:val="001B5632"/>
    <w:rsid w:val="001B7AFB"/>
    <w:rsid w:val="001C0564"/>
    <w:rsid w:val="001C0962"/>
    <w:rsid w:val="001C3787"/>
    <w:rsid w:val="001C47D7"/>
    <w:rsid w:val="001D2E5B"/>
    <w:rsid w:val="001D7531"/>
    <w:rsid w:val="001E2629"/>
    <w:rsid w:val="001E2FF1"/>
    <w:rsid w:val="001E659C"/>
    <w:rsid w:val="001E737D"/>
    <w:rsid w:val="001F0592"/>
    <w:rsid w:val="001F229D"/>
    <w:rsid w:val="001F7506"/>
    <w:rsid w:val="002006CD"/>
    <w:rsid w:val="00200AA7"/>
    <w:rsid w:val="00202B36"/>
    <w:rsid w:val="002032E0"/>
    <w:rsid w:val="00204B7A"/>
    <w:rsid w:val="00204CDE"/>
    <w:rsid w:val="0021101A"/>
    <w:rsid w:val="00217081"/>
    <w:rsid w:val="00220536"/>
    <w:rsid w:val="0022467F"/>
    <w:rsid w:val="00231A60"/>
    <w:rsid w:val="002320F7"/>
    <w:rsid w:val="00235629"/>
    <w:rsid w:val="002356B8"/>
    <w:rsid w:val="00235F44"/>
    <w:rsid w:val="002467A8"/>
    <w:rsid w:val="00247B82"/>
    <w:rsid w:val="0025453A"/>
    <w:rsid w:val="00255058"/>
    <w:rsid w:val="00255C20"/>
    <w:rsid w:val="00260C38"/>
    <w:rsid w:val="002613E5"/>
    <w:rsid w:val="002616C0"/>
    <w:rsid w:val="002617D0"/>
    <w:rsid w:val="00265372"/>
    <w:rsid w:val="002662AA"/>
    <w:rsid w:val="00270AEA"/>
    <w:rsid w:val="00270D35"/>
    <w:rsid w:val="00272150"/>
    <w:rsid w:val="00273A1E"/>
    <w:rsid w:val="00280496"/>
    <w:rsid w:val="00282354"/>
    <w:rsid w:val="00283E0F"/>
    <w:rsid w:val="00284CFA"/>
    <w:rsid w:val="002908DF"/>
    <w:rsid w:val="00294DC9"/>
    <w:rsid w:val="00295495"/>
    <w:rsid w:val="002A31DE"/>
    <w:rsid w:val="002A3F2B"/>
    <w:rsid w:val="002B14C3"/>
    <w:rsid w:val="002B2613"/>
    <w:rsid w:val="002B3410"/>
    <w:rsid w:val="002B6295"/>
    <w:rsid w:val="002B7B82"/>
    <w:rsid w:val="002C549D"/>
    <w:rsid w:val="002D6D05"/>
    <w:rsid w:val="002E45F8"/>
    <w:rsid w:val="002E529C"/>
    <w:rsid w:val="002E6A08"/>
    <w:rsid w:val="002F1818"/>
    <w:rsid w:val="002F3198"/>
    <w:rsid w:val="002F567B"/>
    <w:rsid w:val="003204DA"/>
    <w:rsid w:val="003216A9"/>
    <w:rsid w:val="00322532"/>
    <w:rsid w:val="00326704"/>
    <w:rsid w:val="00335A74"/>
    <w:rsid w:val="00336EA9"/>
    <w:rsid w:val="003438A0"/>
    <w:rsid w:val="003519C8"/>
    <w:rsid w:val="003636DD"/>
    <w:rsid w:val="00364A36"/>
    <w:rsid w:val="00364ACC"/>
    <w:rsid w:val="0036561B"/>
    <w:rsid w:val="0037013F"/>
    <w:rsid w:val="00380C92"/>
    <w:rsid w:val="003813BA"/>
    <w:rsid w:val="00382E74"/>
    <w:rsid w:val="003A0468"/>
    <w:rsid w:val="003A20FF"/>
    <w:rsid w:val="003A484F"/>
    <w:rsid w:val="003A4883"/>
    <w:rsid w:val="003A4F48"/>
    <w:rsid w:val="003A6F4C"/>
    <w:rsid w:val="003B0BE0"/>
    <w:rsid w:val="003B0C1B"/>
    <w:rsid w:val="003B3C0A"/>
    <w:rsid w:val="003B688C"/>
    <w:rsid w:val="003C0291"/>
    <w:rsid w:val="003C39AE"/>
    <w:rsid w:val="003C5A87"/>
    <w:rsid w:val="003C6E2E"/>
    <w:rsid w:val="003C7B60"/>
    <w:rsid w:val="003D0AA3"/>
    <w:rsid w:val="003D0C0F"/>
    <w:rsid w:val="003D1FB2"/>
    <w:rsid w:val="003D66DA"/>
    <w:rsid w:val="003E058B"/>
    <w:rsid w:val="003E1310"/>
    <w:rsid w:val="003E345D"/>
    <w:rsid w:val="003E6F55"/>
    <w:rsid w:val="003F014B"/>
    <w:rsid w:val="003F2819"/>
    <w:rsid w:val="003F3F49"/>
    <w:rsid w:val="003F5132"/>
    <w:rsid w:val="003F744C"/>
    <w:rsid w:val="00406254"/>
    <w:rsid w:val="00406D6C"/>
    <w:rsid w:val="004138B1"/>
    <w:rsid w:val="00415DB1"/>
    <w:rsid w:val="0041776A"/>
    <w:rsid w:val="00420795"/>
    <w:rsid w:val="004213F1"/>
    <w:rsid w:val="004223DE"/>
    <w:rsid w:val="00434489"/>
    <w:rsid w:val="00437085"/>
    <w:rsid w:val="0044176B"/>
    <w:rsid w:val="00441C30"/>
    <w:rsid w:val="004428E7"/>
    <w:rsid w:val="00443880"/>
    <w:rsid w:val="00445BC4"/>
    <w:rsid w:val="004464F4"/>
    <w:rsid w:val="00446E63"/>
    <w:rsid w:val="004628C8"/>
    <w:rsid w:val="00464EE7"/>
    <w:rsid w:val="00467094"/>
    <w:rsid w:val="00471401"/>
    <w:rsid w:val="00473F31"/>
    <w:rsid w:val="0047792E"/>
    <w:rsid w:val="00481FAA"/>
    <w:rsid w:val="0048263A"/>
    <w:rsid w:val="004879ED"/>
    <w:rsid w:val="00487E5D"/>
    <w:rsid w:val="00495BED"/>
    <w:rsid w:val="00495E35"/>
    <w:rsid w:val="004A0B3C"/>
    <w:rsid w:val="004A1EB0"/>
    <w:rsid w:val="004A273E"/>
    <w:rsid w:val="004A48C0"/>
    <w:rsid w:val="004A711F"/>
    <w:rsid w:val="004B199D"/>
    <w:rsid w:val="004B4690"/>
    <w:rsid w:val="004B6C7D"/>
    <w:rsid w:val="004C0A0D"/>
    <w:rsid w:val="004C47F3"/>
    <w:rsid w:val="004D0433"/>
    <w:rsid w:val="004D5BCC"/>
    <w:rsid w:val="004D65CA"/>
    <w:rsid w:val="004E0A2D"/>
    <w:rsid w:val="004E206B"/>
    <w:rsid w:val="004E6DF7"/>
    <w:rsid w:val="004E6E1B"/>
    <w:rsid w:val="004E7145"/>
    <w:rsid w:val="004E77BB"/>
    <w:rsid w:val="004F0FBD"/>
    <w:rsid w:val="004F34A1"/>
    <w:rsid w:val="004F3D76"/>
    <w:rsid w:val="004F7239"/>
    <w:rsid w:val="00502344"/>
    <w:rsid w:val="005048FD"/>
    <w:rsid w:val="00504EA7"/>
    <w:rsid w:val="00505A47"/>
    <w:rsid w:val="0050685B"/>
    <w:rsid w:val="005111A0"/>
    <w:rsid w:val="00512FDA"/>
    <w:rsid w:val="00514321"/>
    <w:rsid w:val="00516C24"/>
    <w:rsid w:val="005176D0"/>
    <w:rsid w:val="00520DA0"/>
    <w:rsid w:val="0052540D"/>
    <w:rsid w:val="00525A23"/>
    <w:rsid w:val="00525E15"/>
    <w:rsid w:val="005336E8"/>
    <w:rsid w:val="00536E30"/>
    <w:rsid w:val="00536FBD"/>
    <w:rsid w:val="00540108"/>
    <w:rsid w:val="00545755"/>
    <w:rsid w:val="00550D22"/>
    <w:rsid w:val="00555FFF"/>
    <w:rsid w:val="00563EFB"/>
    <w:rsid w:val="005664BB"/>
    <w:rsid w:val="00566FFA"/>
    <w:rsid w:val="005701FD"/>
    <w:rsid w:val="00571123"/>
    <w:rsid w:val="00571ED7"/>
    <w:rsid w:val="0057481D"/>
    <w:rsid w:val="0058486E"/>
    <w:rsid w:val="00585A94"/>
    <w:rsid w:val="00585B33"/>
    <w:rsid w:val="0059010D"/>
    <w:rsid w:val="0059014D"/>
    <w:rsid w:val="005917FE"/>
    <w:rsid w:val="005A0A86"/>
    <w:rsid w:val="005A1EB5"/>
    <w:rsid w:val="005A583D"/>
    <w:rsid w:val="005A5E1B"/>
    <w:rsid w:val="005B5C64"/>
    <w:rsid w:val="005B67C6"/>
    <w:rsid w:val="005B7398"/>
    <w:rsid w:val="005B7FC8"/>
    <w:rsid w:val="005C5337"/>
    <w:rsid w:val="005C6BD0"/>
    <w:rsid w:val="005D09D2"/>
    <w:rsid w:val="005D0E70"/>
    <w:rsid w:val="005D1C8B"/>
    <w:rsid w:val="005D468D"/>
    <w:rsid w:val="005D5CED"/>
    <w:rsid w:val="005D5FAA"/>
    <w:rsid w:val="005D7D8C"/>
    <w:rsid w:val="005E0DC7"/>
    <w:rsid w:val="005F1A4C"/>
    <w:rsid w:val="005F636D"/>
    <w:rsid w:val="005F7EEC"/>
    <w:rsid w:val="00600238"/>
    <w:rsid w:val="00602050"/>
    <w:rsid w:val="00605688"/>
    <w:rsid w:val="006056D3"/>
    <w:rsid w:val="00606AD2"/>
    <w:rsid w:val="006070AF"/>
    <w:rsid w:val="00607A4F"/>
    <w:rsid w:val="00607E6C"/>
    <w:rsid w:val="006101B1"/>
    <w:rsid w:val="00611C88"/>
    <w:rsid w:val="00614E44"/>
    <w:rsid w:val="00616047"/>
    <w:rsid w:val="0062270A"/>
    <w:rsid w:val="00622830"/>
    <w:rsid w:val="00623DA0"/>
    <w:rsid w:val="00624DC9"/>
    <w:rsid w:val="00624FB4"/>
    <w:rsid w:val="00630AEF"/>
    <w:rsid w:val="006325F8"/>
    <w:rsid w:val="00633463"/>
    <w:rsid w:val="00634C9A"/>
    <w:rsid w:val="00640979"/>
    <w:rsid w:val="006440E4"/>
    <w:rsid w:val="00645E4B"/>
    <w:rsid w:val="00656D96"/>
    <w:rsid w:val="006577A6"/>
    <w:rsid w:val="0066343B"/>
    <w:rsid w:val="00664777"/>
    <w:rsid w:val="006717A8"/>
    <w:rsid w:val="00672243"/>
    <w:rsid w:val="0067280B"/>
    <w:rsid w:val="006748A4"/>
    <w:rsid w:val="00677BED"/>
    <w:rsid w:val="00681A31"/>
    <w:rsid w:val="00683E73"/>
    <w:rsid w:val="006865A5"/>
    <w:rsid w:val="00692BC8"/>
    <w:rsid w:val="00697307"/>
    <w:rsid w:val="006A3141"/>
    <w:rsid w:val="006A5DD9"/>
    <w:rsid w:val="006A5E34"/>
    <w:rsid w:val="006A68DA"/>
    <w:rsid w:val="006B2422"/>
    <w:rsid w:val="006B2B9A"/>
    <w:rsid w:val="006C032D"/>
    <w:rsid w:val="006C0C32"/>
    <w:rsid w:val="006C14CE"/>
    <w:rsid w:val="006C1937"/>
    <w:rsid w:val="006C418F"/>
    <w:rsid w:val="006C7700"/>
    <w:rsid w:val="006D1D7F"/>
    <w:rsid w:val="006D7BC8"/>
    <w:rsid w:val="006D7D5E"/>
    <w:rsid w:val="006E26BF"/>
    <w:rsid w:val="006E74B1"/>
    <w:rsid w:val="006F020C"/>
    <w:rsid w:val="006F31B6"/>
    <w:rsid w:val="006F5E1A"/>
    <w:rsid w:val="006F6BBF"/>
    <w:rsid w:val="00700054"/>
    <w:rsid w:val="007127B7"/>
    <w:rsid w:val="00713A00"/>
    <w:rsid w:val="0071763B"/>
    <w:rsid w:val="0071798E"/>
    <w:rsid w:val="00717E68"/>
    <w:rsid w:val="00723D73"/>
    <w:rsid w:val="00723DF6"/>
    <w:rsid w:val="007275A0"/>
    <w:rsid w:val="00732C40"/>
    <w:rsid w:val="00734E3F"/>
    <w:rsid w:val="007416B6"/>
    <w:rsid w:val="00742CA9"/>
    <w:rsid w:val="00744086"/>
    <w:rsid w:val="00745C79"/>
    <w:rsid w:val="00746F48"/>
    <w:rsid w:val="0075404D"/>
    <w:rsid w:val="0075564C"/>
    <w:rsid w:val="0075772E"/>
    <w:rsid w:val="0076182A"/>
    <w:rsid w:val="00764B31"/>
    <w:rsid w:val="00767B7E"/>
    <w:rsid w:val="00775774"/>
    <w:rsid w:val="007770C3"/>
    <w:rsid w:val="007779B7"/>
    <w:rsid w:val="00777C3E"/>
    <w:rsid w:val="00781264"/>
    <w:rsid w:val="0078188D"/>
    <w:rsid w:val="00784D24"/>
    <w:rsid w:val="00785FBA"/>
    <w:rsid w:val="0078646F"/>
    <w:rsid w:val="007865DD"/>
    <w:rsid w:val="0078681B"/>
    <w:rsid w:val="00786E4A"/>
    <w:rsid w:val="007875EB"/>
    <w:rsid w:val="0079426B"/>
    <w:rsid w:val="007A4C5B"/>
    <w:rsid w:val="007B0CA4"/>
    <w:rsid w:val="007B494B"/>
    <w:rsid w:val="007D0275"/>
    <w:rsid w:val="007D1682"/>
    <w:rsid w:val="007D312A"/>
    <w:rsid w:val="007D3F19"/>
    <w:rsid w:val="007D6036"/>
    <w:rsid w:val="007D6D80"/>
    <w:rsid w:val="007E1796"/>
    <w:rsid w:val="007E23B0"/>
    <w:rsid w:val="007E23E5"/>
    <w:rsid w:val="007E4A6B"/>
    <w:rsid w:val="007E4EFC"/>
    <w:rsid w:val="007E5ABB"/>
    <w:rsid w:val="007F1991"/>
    <w:rsid w:val="007F1AD4"/>
    <w:rsid w:val="007F2C2F"/>
    <w:rsid w:val="007F4CF8"/>
    <w:rsid w:val="007F55FC"/>
    <w:rsid w:val="007F5665"/>
    <w:rsid w:val="00800112"/>
    <w:rsid w:val="00800D10"/>
    <w:rsid w:val="00805803"/>
    <w:rsid w:val="008117FD"/>
    <w:rsid w:val="00813348"/>
    <w:rsid w:val="00815961"/>
    <w:rsid w:val="008253BB"/>
    <w:rsid w:val="00834220"/>
    <w:rsid w:val="00835C6F"/>
    <w:rsid w:val="00836BFF"/>
    <w:rsid w:val="0083706E"/>
    <w:rsid w:val="008408F6"/>
    <w:rsid w:val="008423A5"/>
    <w:rsid w:val="00846FA0"/>
    <w:rsid w:val="00850625"/>
    <w:rsid w:val="00853718"/>
    <w:rsid w:val="00855221"/>
    <w:rsid w:val="00856520"/>
    <w:rsid w:val="00860645"/>
    <w:rsid w:val="00862F15"/>
    <w:rsid w:val="00864164"/>
    <w:rsid w:val="00871F71"/>
    <w:rsid w:val="00872FD8"/>
    <w:rsid w:val="00874170"/>
    <w:rsid w:val="00882E05"/>
    <w:rsid w:val="00885AF4"/>
    <w:rsid w:val="008939CD"/>
    <w:rsid w:val="00896AE6"/>
    <w:rsid w:val="008A08C0"/>
    <w:rsid w:val="008A1240"/>
    <w:rsid w:val="008A6CCC"/>
    <w:rsid w:val="008B3BCF"/>
    <w:rsid w:val="008B6BA6"/>
    <w:rsid w:val="008B74D5"/>
    <w:rsid w:val="008B768C"/>
    <w:rsid w:val="008C2844"/>
    <w:rsid w:val="008C4DB1"/>
    <w:rsid w:val="008C4EAF"/>
    <w:rsid w:val="008C5176"/>
    <w:rsid w:val="008C7FD0"/>
    <w:rsid w:val="008D1A66"/>
    <w:rsid w:val="008E1DE7"/>
    <w:rsid w:val="008E3355"/>
    <w:rsid w:val="008E707C"/>
    <w:rsid w:val="008E749D"/>
    <w:rsid w:val="008F5EF5"/>
    <w:rsid w:val="009007AF"/>
    <w:rsid w:val="00900B08"/>
    <w:rsid w:val="00902155"/>
    <w:rsid w:val="0090275E"/>
    <w:rsid w:val="00902FA3"/>
    <w:rsid w:val="009060B1"/>
    <w:rsid w:val="00921C1F"/>
    <w:rsid w:val="00922B65"/>
    <w:rsid w:val="00923564"/>
    <w:rsid w:val="0092392E"/>
    <w:rsid w:val="00930BBE"/>
    <w:rsid w:val="009315F9"/>
    <w:rsid w:val="00933499"/>
    <w:rsid w:val="00935C98"/>
    <w:rsid w:val="009364BA"/>
    <w:rsid w:val="00937A94"/>
    <w:rsid w:val="009432EB"/>
    <w:rsid w:val="00943DCE"/>
    <w:rsid w:val="0094650B"/>
    <w:rsid w:val="00946945"/>
    <w:rsid w:val="00947591"/>
    <w:rsid w:val="00951248"/>
    <w:rsid w:val="0095152F"/>
    <w:rsid w:val="00954C49"/>
    <w:rsid w:val="00955E37"/>
    <w:rsid w:val="00957BA5"/>
    <w:rsid w:val="00965ACB"/>
    <w:rsid w:val="00967BE7"/>
    <w:rsid w:val="0097099F"/>
    <w:rsid w:val="00971997"/>
    <w:rsid w:val="00971FFC"/>
    <w:rsid w:val="0097254D"/>
    <w:rsid w:val="00972BE2"/>
    <w:rsid w:val="00975A9E"/>
    <w:rsid w:val="00982F9B"/>
    <w:rsid w:val="009835AF"/>
    <w:rsid w:val="00984CB3"/>
    <w:rsid w:val="0098660A"/>
    <w:rsid w:val="009931C3"/>
    <w:rsid w:val="009978D1"/>
    <w:rsid w:val="009A1740"/>
    <w:rsid w:val="009A2C56"/>
    <w:rsid w:val="009A3219"/>
    <w:rsid w:val="009A3F4B"/>
    <w:rsid w:val="009B2C43"/>
    <w:rsid w:val="009B4EAE"/>
    <w:rsid w:val="009B4F0D"/>
    <w:rsid w:val="009B7573"/>
    <w:rsid w:val="009C09F2"/>
    <w:rsid w:val="009C1530"/>
    <w:rsid w:val="009C22F4"/>
    <w:rsid w:val="009C2A4B"/>
    <w:rsid w:val="009C2E98"/>
    <w:rsid w:val="009C7414"/>
    <w:rsid w:val="009D2000"/>
    <w:rsid w:val="009D3447"/>
    <w:rsid w:val="009D4711"/>
    <w:rsid w:val="009D50AB"/>
    <w:rsid w:val="009D5C04"/>
    <w:rsid w:val="009D6750"/>
    <w:rsid w:val="009D691B"/>
    <w:rsid w:val="009E19C6"/>
    <w:rsid w:val="009E27C6"/>
    <w:rsid w:val="009E4DB6"/>
    <w:rsid w:val="009E6C9C"/>
    <w:rsid w:val="009F1185"/>
    <w:rsid w:val="009F18CD"/>
    <w:rsid w:val="009F1BB2"/>
    <w:rsid w:val="009F2A13"/>
    <w:rsid w:val="009F5540"/>
    <w:rsid w:val="009F6EC3"/>
    <w:rsid w:val="009F6EFA"/>
    <w:rsid w:val="009F7527"/>
    <w:rsid w:val="00A0124C"/>
    <w:rsid w:val="00A04EB0"/>
    <w:rsid w:val="00A13CC1"/>
    <w:rsid w:val="00A154CE"/>
    <w:rsid w:val="00A16847"/>
    <w:rsid w:val="00A16B68"/>
    <w:rsid w:val="00A2159E"/>
    <w:rsid w:val="00A237D8"/>
    <w:rsid w:val="00A25846"/>
    <w:rsid w:val="00A25868"/>
    <w:rsid w:val="00A268C4"/>
    <w:rsid w:val="00A305C2"/>
    <w:rsid w:val="00A307CD"/>
    <w:rsid w:val="00A331C8"/>
    <w:rsid w:val="00A40A00"/>
    <w:rsid w:val="00A4142F"/>
    <w:rsid w:val="00A41AB8"/>
    <w:rsid w:val="00A41C57"/>
    <w:rsid w:val="00A422EB"/>
    <w:rsid w:val="00A43287"/>
    <w:rsid w:val="00A45BB7"/>
    <w:rsid w:val="00A466FA"/>
    <w:rsid w:val="00A50E98"/>
    <w:rsid w:val="00A51F11"/>
    <w:rsid w:val="00A5402B"/>
    <w:rsid w:val="00A56DF2"/>
    <w:rsid w:val="00A56E6E"/>
    <w:rsid w:val="00A67AB5"/>
    <w:rsid w:val="00A70D31"/>
    <w:rsid w:val="00A733B2"/>
    <w:rsid w:val="00A741C2"/>
    <w:rsid w:val="00A742C0"/>
    <w:rsid w:val="00A91760"/>
    <w:rsid w:val="00A9226A"/>
    <w:rsid w:val="00A93B00"/>
    <w:rsid w:val="00A93C21"/>
    <w:rsid w:val="00AA1D11"/>
    <w:rsid w:val="00AA584C"/>
    <w:rsid w:val="00AA5881"/>
    <w:rsid w:val="00AB1F25"/>
    <w:rsid w:val="00AB4223"/>
    <w:rsid w:val="00AB511C"/>
    <w:rsid w:val="00AB64C9"/>
    <w:rsid w:val="00AC3C6A"/>
    <w:rsid w:val="00AC67BB"/>
    <w:rsid w:val="00AD11D5"/>
    <w:rsid w:val="00AD1CCC"/>
    <w:rsid w:val="00AD5620"/>
    <w:rsid w:val="00AD656B"/>
    <w:rsid w:val="00AD7C1B"/>
    <w:rsid w:val="00AE16BA"/>
    <w:rsid w:val="00AE1EBE"/>
    <w:rsid w:val="00AE1F0F"/>
    <w:rsid w:val="00AF0A50"/>
    <w:rsid w:val="00AF2571"/>
    <w:rsid w:val="00AF3510"/>
    <w:rsid w:val="00B00032"/>
    <w:rsid w:val="00B03C9D"/>
    <w:rsid w:val="00B03F06"/>
    <w:rsid w:val="00B06007"/>
    <w:rsid w:val="00B060AE"/>
    <w:rsid w:val="00B07919"/>
    <w:rsid w:val="00B10517"/>
    <w:rsid w:val="00B13E60"/>
    <w:rsid w:val="00B14E76"/>
    <w:rsid w:val="00B161B8"/>
    <w:rsid w:val="00B2048C"/>
    <w:rsid w:val="00B276BD"/>
    <w:rsid w:val="00B310B9"/>
    <w:rsid w:val="00B32E90"/>
    <w:rsid w:val="00B35F3F"/>
    <w:rsid w:val="00B36CBB"/>
    <w:rsid w:val="00B41695"/>
    <w:rsid w:val="00B425E0"/>
    <w:rsid w:val="00B440AA"/>
    <w:rsid w:val="00B44B70"/>
    <w:rsid w:val="00B515CC"/>
    <w:rsid w:val="00B52F1E"/>
    <w:rsid w:val="00B53C56"/>
    <w:rsid w:val="00B57DAF"/>
    <w:rsid w:val="00B6214F"/>
    <w:rsid w:val="00B64533"/>
    <w:rsid w:val="00B648E8"/>
    <w:rsid w:val="00B6629B"/>
    <w:rsid w:val="00B73A66"/>
    <w:rsid w:val="00B74212"/>
    <w:rsid w:val="00B77D72"/>
    <w:rsid w:val="00B77EA6"/>
    <w:rsid w:val="00B81598"/>
    <w:rsid w:val="00B823C1"/>
    <w:rsid w:val="00B841F1"/>
    <w:rsid w:val="00B86375"/>
    <w:rsid w:val="00B944D6"/>
    <w:rsid w:val="00BA4F85"/>
    <w:rsid w:val="00BB1422"/>
    <w:rsid w:val="00BB2582"/>
    <w:rsid w:val="00BB4DF0"/>
    <w:rsid w:val="00BB6A83"/>
    <w:rsid w:val="00BC289F"/>
    <w:rsid w:val="00BC2D50"/>
    <w:rsid w:val="00BC5361"/>
    <w:rsid w:val="00BC5460"/>
    <w:rsid w:val="00BC6B50"/>
    <w:rsid w:val="00BD0E25"/>
    <w:rsid w:val="00BD2F97"/>
    <w:rsid w:val="00BD4597"/>
    <w:rsid w:val="00BE1F19"/>
    <w:rsid w:val="00BF5BD6"/>
    <w:rsid w:val="00BF5E03"/>
    <w:rsid w:val="00C010D8"/>
    <w:rsid w:val="00C017AD"/>
    <w:rsid w:val="00C025E9"/>
    <w:rsid w:val="00C03E31"/>
    <w:rsid w:val="00C1305B"/>
    <w:rsid w:val="00C13CFA"/>
    <w:rsid w:val="00C16317"/>
    <w:rsid w:val="00C1699E"/>
    <w:rsid w:val="00C169B1"/>
    <w:rsid w:val="00C2021D"/>
    <w:rsid w:val="00C311A9"/>
    <w:rsid w:val="00C313CC"/>
    <w:rsid w:val="00C33E72"/>
    <w:rsid w:val="00C3424C"/>
    <w:rsid w:val="00C354B2"/>
    <w:rsid w:val="00C35554"/>
    <w:rsid w:val="00C42709"/>
    <w:rsid w:val="00C47954"/>
    <w:rsid w:val="00C5011C"/>
    <w:rsid w:val="00C52575"/>
    <w:rsid w:val="00C533CC"/>
    <w:rsid w:val="00C5751C"/>
    <w:rsid w:val="00C61BFC"/>
    <w:rsid w:val="00C62B85"/>
    <w:rsid w:val="00C650CA"/>
    <w:rsid w:val="00C65261"/>
    <w:rsid w:val="00C65438"/>
    <w:rsid w:val="00C66993"/>
    <w:rsid w:val="00C67883"/>
    <w:rsid w:val="00C70708"/>
    <w:rsid w:val="00C800F0"/>
    <w:rsid w:val="00C818CF"/>
    <w:rsid w:val="00C87FD8"/>
    <w:rsid w:val="00C91381"/>
    <w:rsid w:val="00C91CBB"/>
    <w:rsid w:val="00C91FAF"/>
    <w:rsid w:val="00C9351A"/>
    <w:rsid w:val="00C94493"/>
    <w:rsid w:val="00C946A4"/>
    <w:rsid w:val="00CA3112"/>
    <w:rsid w:val="00CB15DF"/>
    <w:rsid w:val="00CB231C"/>
    <w:rsid w:val="00CB4E70"/>
    <w:rsid w:val="00CC09A0"/>
    <w:rsid w:val="00CC09B6"/>
    <w:rsid w:val="00CC1C46"/>
    <w:rsid w:val="00CC3948"/>
    <w:rsid w:val="00CC3E2C"/>
    <w:rsid w:val="00CC486B"/>
    <w:rsid w:val="00CC56D1"/>
    <w:rsid w:val="00CC666F"/>
    <w:rsid w:val="00CC6BAC"/>
    <w:rsid w:val="00CD1E3F"/>
    <w:rsid w:val="00CD2EA8"/>
    <w:rsid w:val="00CE44F6"/>
    <w:rsid w:val="00CE49B1"/>
    <w:rsid w:val="00CE49DA"/>
    <w:rsid w:val="00CE7B61"/>
    <w:rsid w:val="00CF57A3"/>
    <w:rsid w:val="00CF6281"/>
    <w:rsid w:val="00D00095"/>
    <w:rsid w:val="00D00169"/>
    <w:rsid w:val="00D114F0"/>
    <w:rsid w:val="00D173B9"/>
    <w:rsid w:val="00D20620"/>
    <w:rsid w:val="00D20B11"/>
    <w:rsid w:val="00D254F7"/>
    <w:rsid w:val="00D26091"/>
    <w:rsid w:val="00D2685C"/>
    <w:rsid w:val="00D26AC5"/>
    <w:rsid w:val="00D30A30"/>
    <w:rsid w:val="00D32792"/>
    <w:rsid w:val="00D32ABC"/>
    <w:rsid w:val="00D34E7C"/>
    <w:rsid w:val="00D34F17"/>
    <w:rsid w:val="00D35489"/>
    <w:rsid w:val="00D35D13"/>
    <w:rsid w:val="00D36AFE"/>
    <w:rsid w:val="00D421B6"/>
    <w:rsid w:val="00D42CCF"/>
    <w:rsid w:val="00D45979"/>
    <w:rsid w:val="00D462CF"/>
    <w:rsid w:val="00D475F9"/>
    <w:rsid w:val="00D51276"/>
    <w:rsid w:val="00D51E0C"/>
    <w:rsid w:val="00D53EC4"/>
    <w:rsid w:val="00D61EA4"/>
    <w:rsid w:val="00D7035F"/>
    <w:rsid w:val="00D71D8C"/>
    <w:rsid w:val="00D82481"/>
    <w:rsid w:val="00D828A6"/>
    <w:rsid w:val="00D85186"/>
    <w:rsid w:val="00DA3573"/>
    <w:rsid w:val="00DA4928"/>
    <w:rsid w:val="00DA634F"/>
    <w:rsid w:val="00DA65AC"/>
    <w:rsid w:val="00DB1913"/>
    <w:rsid w:val="00DC410D"/>
    <w:rsid w:val="00DC4B63"/>
    <w:rsid w:val="00DC5A81"/>
    <w:rsid w:val="00DC68CA"/>
    <w:rsid w:val="00DC7CBA"/>
    <w:rsid w:val="00DD0442"/>
    <w:rsid w:val="00DD3242"/>
    <w:rsid w:val="00DD73B7"/>
    <w:rsid w:val="00DE2C21"/>
    <w:rsid w:val="00DF06E2"/>
    <w:rsid w:val="00DF0FEE"/>
    <w:rsid w:val="00DF22C6"/>
    <w:rsid w:val="00DF28BC"/>
    <w:rsid w:val="00DF2AEA"/>
    <w:rsid w:val="00DF34B9"/>
    <w:rsid w:val="00E00856"/>
    <w:rsid w:val="00E00FCE"/>
    <w:rsid w:val="00E01053"/>
    <w:rsid w:val="00E014AD"/>
    <w:rsid w:val="00E0573C"/>
    <w:rsid w:val="00E07ACF"/>
    <w:rsid w:val="00E1565F"/>
    <w:rsid w:val="00E22135"/>
    <w:rsid w:val="00E30440"/>
    <w:rsid w:val="00E32659"/>
    <w:rsid w:val="00E331A1"/>
    <w:rsid w:val="00E33202"/>
    <w:rsid w:val="00E33565"/>
    <w:rsid w:val="00E336A9"/>
    <w:rsid w:val="00E34C41"/>
    <w:rsid w:val="00E41561"/>
    <w:rsid w:val="00E424F0"/>
    <w:rsid w:val="00E42A51"/>
    <w:rsid w:val="00E44F9B"/>
    <w:rsid w:val="00E472B1"/>
    <w:rsid w:val="00E47C5A"/>
    <w:rsid w:val="00E50624"/>
    <w:rsid w:val="00E5285B"/>
    <w:rsid w:val="00E568DF"/>
    <w:rsid w:val="00E60AA7"/>
    <w:rsid w:val="00E64269"/>
    <w:rsid w:val="00E70FBA"/>
    <w:rsid w:val="00E73335"/>
    <w:rsid w:val="00E73E23"/>
    <w:rsid w:val="00E74EAF"/>
    <w:rsid w:val="00E75AF3"/>
    <w:rsid w:val="00E82267"/>
    <w:rsid w:val="00E84C34"/>
    <w:rsid w:val="00E853CE"/>
    <w:rsid w:val="00E867B6"/>
    <w:rsid w:val="00E93110"/>
    <w:rsid w:val="00E93E4D"/>
    <w:rsid w:val="00E9573B"/>
    <w:rsid w:val="00EA010F"/>
    <w:rsid w:val="00EA3A2E"/>
    <w:rsid w:val="00EA7AC5"/>
    <w:rsid w:val="00EC4782"/>
    <w:rsid w:val="00EC6F8B"/>
    <w:rsid w:val="00ED1B63"/>
    <w:rsid w:val="00ED306D"/>
    <w:rsid w:val="00ED3C1F"/>
    <w:rsid w:val="00ED4085"/>
    <w:rsid w:val="00ED420E"/>
    <w:rsid w:val="00ED6FBE"/>
    <w:rsid w:val="00EE157C"/>
    <w:rsid w:val="00EE256E"/>
    <w:rsid w:val="00EE2879"/>
    <w:rsid w:val="00EE2F57"/>
    <w:rsid w:val="00EF2B8D"/>
    <w:rsid w:val="00EF39C0"/>
    <w:rsid w:val="00EF4C34"/>
    <w:rsid w:val="00EF77C6"/>
    <w:rsid w:val="00F03EFF"/>
    <w:rsid w:val="00F05438"/>
    <w:rsid w:val="00F07F95"/>
    <w:rsid w:val="00F11DE2"/>
    <w:rsid w:val="00F1361C"/>
    <w:rsid w:val="00F13A8C"/>
    <w:rsid w:val="00F156F0"/>
    <w:rsid w:val="00F160C7"/>
    <w:rsid w:val="00F17329"/>
    <w:rsid w:val="00F1777E"/>
    <w:rsid w:val="00F17ECC"/>
    <w:rsid w:val="00F2408F"/>
    <w:rsid w:val="00F240E9"/>
    <w:rsid w:val="00F30D02"/>
    <w:rsid w:val="00F36D8F"/>
    <w:rsid w:val="00F417B1"/>
    <w:rsid w:val="00F44ACF"/>
    <w:rsid w:val="00F45645"/>
    <w:rsid w:val="00F45853"/>
    <w:rsid w:val="00F46E09"/>
    <w:rsid w:val="00F5113A"/>
    <w:rsid w:val="00F548AB"/>
    <w:rsid w:val="00F5513E"/>
    <w:rsid w:val="00F602DF"/>
    <w:rsid w:val="00F666FC"/>
    <w:rsid w:val="00F701E4"/>
    <w:rsid w:val="00F754A1"/>
    <w:rsid w:val="00F77F95"/>
    <w:rsid w:val="00F80559"/>
    <w:rsid w:val="00F81FD9"/>
    <w:rsid w:val="00F841AA"/>
    <w:rsid w:val="00F849EF"/>
    <w:rsid w:val="00F84A94"/>
    <w:rsid w:val="00F86292"/>
    <w:rsid w:val="00F865EB"/>
    <w:rsid w:val="00F86C00"/>
    <w:rsid w:val="00F87E96"/>
    <w:rsid w:val="00F906B9"/>
    <w:rsid w:val="00F913BD"/>
    <w:rsid w:val="00F913C7"/>
    <w:rsid w:val="00F92D92"/>
    <w:rsid w:val="00F9346A"/>
    <w:rsid w:val="00FA0787"/>
    <w:rsid w:val="00FA23E8"/>
    <w:rsid w:val="00FA4F69"/>
    <w:rsid w:val="00FA68C8"/>
    <w:rsid w:val="00FA79C0"/>
    <w:rsid w:val="00FA7EB6"/>
    <w:rsid w:val="00FB024F"/>
    <w:rsid w:val="00FB1206"/>
    <w:rsid w:val="00FB5755"/>
    <w:rsid w:val="00FC1CAB"/>
    <w:rsid w:val="00FC7EB9"/>
    <w:rsid w:val="00FD0AA7"/>
    <w:rsid w:val="00FD2157"/>
    <w:rsid w:val="00FD3CC1"/>
    <w:rsid w:val="00FE3BC7"/>
    <w:rsid w:val="00FE6A47"/>
    <w:rsid w:val="00FF0D6C"/>
    <w:rsid w:val="00FF1E02"/>
    <w:rsid w:val="00FF30B4"/>
    <w:rsid w:val="00FF694B"/>
    <w:rsid w:val="015975B8"/>
    <w:rsid w:val="02143E91"/>
    <w:rsid w:val="066E0107"/>
    <w:rsid w:val="07996F6E"/>
    <w:rsid w:val="0A2032A3"/>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319F7F4E"/>
    <w:rsid w:val="3304709D"/>
    <w:rsid w:val="36AA5135"/>
    <w:rsid w:val="376D39B2"/>
    <w:rsid w:val="37E16F03"/>
    <w:rsid w:val="38D469F0"/>
    <w:rsid w:val="3BEB80F5"/>
    <w:rsid w:val="3D98207C"/>
    <w:rsid w:val="3E78745D"/>
    <w:rsid w:val="44E268DA"/>
    <w:rsid w:val="4A627F82"/>
    <w:rsid w:val="4B0E749A"/>
    <w:rsid w:val="4B4F25DA"/>
    <w:rsid w:val="4BE068DB"/>
    <w:rsid w:val="4D577224"/>
    <w:rsid w:val="4EAB630A"/>
    <w:rsid w:val="4ECE2238"/>
    <w:rsid w:val="537E6D0A"/>
    <w:rsid w:val="5AF92295"/>
    <w:rsid w:val="5CD71FC4"/>
    <w:rsid w:val="6C4A05C8"/>
    <w:rsid w:val="6E7E3605"/>
    <w:rsid w:val="6F3D4799"/>
    <w:rsid w:val="6FF5CC65"/>
    <w:rsid w:val="715C0E4B"/>
    <w:rsid w:val="72734D90"/>
    <w:rsid w:val="728F5EAC"/>
    <w:rsid w:val="73AD73D5"/>
    <w:rsid w:val="73B6EB34"/>
    <w:rsid w:val="744731E5"/>
    <w:rsid w:val="76E3355F"/>
    <w:rsid w:val="7745ABAB"/>
    <w:rsid w:val="778769C8"/>
    <w:rsid w:val="79EE5BA4"/>
    <w:rsid w:val="7A894339"/>
    <w:rsid w:val="7EEF11D3"/>
    <w:rsid w:val="7FA30C79"/>
    <w:rsid w:val="7FB7269E"/>
    <w:rsid w:val="7FC96657"/>
    <w:rsid w:val="87BC2711"/>
    <w:rsid w:val="8F34497D"/>
    <w:rsid w:val="A3BF8B33"/>
    <w:rsid w:val="BDEB9317"/>
    <w:rsid w:val="BFF7AAC5"/>
    <w:rsid w:val="D8D6DB89"/>
    <w:rsid w:val="DB6F4CAB"/>
    <w:rsid w:val="DF6F9789"/>
    <w:rsid w:val="EDFAB2E2"/>
    <w:rsid w:val="EDFCDDFC"/>
    <w:rsid w:val="F9D74B28"/>
    <w:rsid w:val="FB6F9373"/>
    <w:rsid w:val="FFBD02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link w:val="52"/>
    <w:qFormat/>
    <w:uiPriority w:val="0"/>
    <w:rPr>
      <w:rFonts w:ascii="宋体" w:hAnsi="Calibri"/>
    </w:rPr>
  </w:style>
  <w:style w:type="paragraph" w:styleId="9">
    <w:name w:val="Balloon Text"/>
    <w:basedOn w:val="1"/>
    <w:link w:val="33"/>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6"/>
    <w:unhideWhenUsed/>
    <w:qFormat/>
    <w:uiPriority w:val="99"/>
    <w:pPr>
      <w:ind w:firstLine="420" w:firstLineChars="200"/>
    </w:pPr>
  </w:style>
  <w:style w:type="character" w:styleId="18">
    <w:name w:val="Strong"/>
    <w:basedOn w:val="17"/>
    <w:qFormat/>
    <w:uiPriority w:val="99"/>
    <w:rPr>
      <w:b/>
    </w:rPr>
  </w:style>
  <w:style w:type="character" w:styleId="19">
    <w:name w:val="FollowedHyperlink"/>
    <w:basedOn w:val="17"/>
    <w:semiHidden/>
    <w:unhideWhenUsed/>
    <w:qFormat/>
    <w:uiPriority w:val="99"/>
    <w:rPr>
      <w:color w:val="954F72"/>
      <w:u w:val="single"/>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Char"/>
    <w:link w:val="11"/>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7"/>
    <w:link w:val="3"/>
    <w:qFormat/>
    <w:uiPriority w:val="9"/>
    <w:rPr>
      <w:rFonts w:ascii="Times New Roman" w:hAnsi="Times New Roman"/>
      <w:b/>
      <w:bCs/>
      <w:kern w:val="44"/>
      <w:sz w:val="44"/>
      <w:szCs w:val="44"/>
    </w:rPr>
  </w:style>
  <w:style w:type="character" w:customStyle="1" w:styleId="31">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7"/>
    <w:link w:val="9"/>
    <w:semiHidden/>
    <w:qFormat/>
    <w:uiPriority w:val="99"/>
    <w:rPr>
      <w:rFonts w:ascii="Times New Roman" w:hAnsi="Times New Roman"/>
      <w:kern w:val="2"/>
      <w:sz w:val="18"/>
      <w:szCs w:val="18"/>
    </w:rPr>
  </w:style>
  <w:style w:type="character" w:customStyle="1" w:styleId="34">
    <w:name w:val="标题 3 Char"/>
    <w:basedOn w:val="17"/>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2">
    <w:name w:val="纯文本 Char"/>
    <w:basedOn w:val="17"/>
    <w:link w:val="8"/>
    <w:qFormat/>
    <w:uiPriority w:val="0"/>
    <w:rPr>
      <w:rFonts w:ascii="宋体" w:hAnsi="Calibri"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themeOverride" Target="../theme/themeOverride2.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themeOverride" Target="../theme/themeOverride3.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themeOverride" Target="../theme/themeOverride4.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themeOverride" Target="../theme/themeOverride5.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a:lstStyle/>
          <a:p>
            <a:pPr>
              <a:defRPr lang="zh-CN" sz="1400" b="1" i="0" u="none" strike="noStrike" kern="1200" baseline="0">
                <a:solidFill>
                  <a:schemeClr val="bg1"/>
                </a:solidFill>
                <a:latin typeface="+mn-lt"/>
                <a:ea typeface="+mn-ea"/>
                <a:cs typeface="+mn-cs"/>
              </a:defRPr>
            </a:pPr>
            <a:r>
              <a:rPr lang="en-US" altLang="zh-CN" sz="1400">
                <a:solidFill>
                  <a:schemeClr val="bg1"/>
                </a:solidFill>
              </a:rPr>
              <a:t>2022</a:t>
            </a:r>
            <a:r>
              <a:rPr lang="zh-CN" altLang="en-US" sz="1400">
                <a:solidFill>
                  <a:schemeClr val="bg1"/>
                </a:solidFill>
              </a:rPr>
              <a:t>年收、支决算总计变动情况图</a:t>
            </a:r>
            <a:endParaRPr lang="zh-CN" altLang="en-US" sz="1400">
              <a:solidFill>
                <a:schemeClr val="bg1"/>
              </a:solidFill>
            </a:endParaRPr>
          </a:p>
        </c:rich>
      </c:tx>
      <c:layout>
        <c:manualLayout>
          <c:xMode val="edge"/>
          <c:yMode val="edge"/>
          <c:x val="0.0484792213473316"/>
          <c:y val="0.0231481481481481"/>
        </c:manualLayout>
      </c:layout>
      <c:overlay val="false"/>
    </c:title>
    <c:autoTitleDeleted val="false"/>
    <c:plotArea>
      <c:layout/>
      <c:barChart>
        <c:barDir val="col"/>
        <c:grouping val="clustered"/>
        <c:varyColors val="false"/>
        <c:ser>
          <c:idx val="0"/>
          <c:order val="0"/>
          <c:tx>
            <c:strRef>
              <c:f>图表1!$L$3</c:f>
              <c:strCache>
                <c:ptCount val="1"/>
                <c:pt idx="0">
                  <c:v>收、支决算总计变动情况图</c:v>
                </c:pt>
              </c:strCache>
            </c:strRef>
          </c:tx>
          <c:invertIfNegative val="false"/>
          <c:dPt>
            <c:idx val="1"/>
            <c:invertIfNegative val="false"/>
            <c:bubble3D val="false"/>
            <c:spPr>
              <a:solidFill>
                <a:schemeClr val="accent2"/>
              </a:solidFill>
            </c:spPr>
          </c:dPt>
          <c:dPt>
            <c:idx val="2"/>
            <c:invertIfNegative val="false"/>
            <c:bubble3D val="false"/>
            <c:spPr>
              <a:solidFill>
                <a:srgbClr val="92D050"/>
              </a:solidFill>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bg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图表1!$M$2:$O$2</c:f>
              <c:strCache>
                <c:ptCount val="3"/>
                <c:pt idx="0">
                  <c:v>2022年</c:v>
                </c:pt>
                <c:pt idx="1">
                  <c:v>2021年</c:v>
                </c:pt>
                <c:pt idx="2">
                  <c:v>上升额度</c:v>
                </c:pt>
              </c:strCache>
            </c:strRef>
          </c:cat>
          <c:val>
            <c:numRef>
              <c:f>图表1!$M$3:$O$3</c:f>
              <c:numCache>
                <c:formatCode>General</c:formatCode>
                <c:ptCount val="3"/>
                <c:pt idx="0">
                  <c:v>452.95</c:v>
                </c:pt>
                <c:pt idx="1">
                  <c:v>440.59</c:v>
                </c:pt>
                <c:pt idx="2">
                  <c:v>12.36</c:v>
                </c:pt>
              </c:numCache>
            </c:numRef>
          </c:val>
        </c:ser>
        <c:dLbls>
          <c:showLegendKey val="false"/>
          <c:showVal val="false"/>
          <c:showCatName val="false"/>
          <c:showSerName val="false"/>
          <c:showPercent val="false"/>
          <c:showBubbleSize val="false"/>
        </c:dLbls>
        <c:gapWidth val="150"/>
        <c:axId val="230032128"/>
        <c:axId val="230033664"/>
      </c:barChart>
      <c:catAx>
        <c:axId val="23003212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bg1"/>
                </a:solidFill>
                <a:latin typeface="+mn-lt"/>
                <a:ea typeface="+mn-ea"/>
                <a:cs typeface="+mn-cs"/>
              </a:defRPr>
            </a:pPr>
          </a:p>
        </c:txPr>
        <c:crossAx val="230033664"/>
        <c:crosses val="autoZero"/>
        <c:auto val="true"/>
        <c:lblAlgn val="ctr"/>
        <c:lblOffset val="100"/>
        <c:noMultiLvlLbl val="false"/>
      </c:catAx>
      <c:valAx>
        <c:axId val="230033664"/>
        <c:scaling>
          <c:orientation val="minMax"/>
        </c:scaling>
        <c:delete val="false"/>
        <c:axPos val="l"/>
        <c:numFmt formatCode="General" sourceLinked="true"/>
        <c:majorTickMark val="out"/>
        <c:minorTickMark val="none"/>
        <c:tickLblPos val="nextTo"/>
        <c:spPr>
          <a:ln w="9525" cap="flat" cmpd="sng" algn="ctr">
            <a:noFill/>
            <a:prstDash val="solid"/>
            <a:round/>
          </a:ln>
        </c:spPr>
        <c:txPr>
          <a:bodyPr rot="-60000000" spcFirstLastPara="0" vertOverflow="ellipsis" vert="horz" wrap="square" anchor="ctr" anchorCtr="true"/>
          <a:lstStyle/>
          <a:p>
            <a:pPr>
              <a:defRPr lang="zh-CN" sz="1000" b="0" i="0" u="none" strike="noStrike" kern="1200" baseline="0">
                <a:solidFill>
                  <a:schemeClr val="bg1"/>
                </a:solidFill>
                <a:latin typeface="+mn-lt"/>
                <a:ea typeface="+mn-ea"/>
                <a:cs typeface="+mn-cs"/>
              </a:defRPr>
            </a:pPr>
          </a:p>
        </c:txPr>
        <c:crossAx val="230032128"/>
        <c:crosses val="autoZero"/>
        <c:crossBetween val="between"/>
        <c:majorUnit val="100"/>
      </c:valAx>
      <c:spPr>
        <a:gradFill>
          <a:gsLst>
            <a:gs pos="0">
              <a:schemeClr val="tx1">
                <a:lumMod val="75000"/>
                <a:lumOff val="25000"/>
              </a:schemeClr>
            </a:gs>
            <a:gs pos="100000">
              <a:schemeClr val="tx1">
                <a:lumMod val="75000"/>
                <a:lumOff val="25000"/>
              </a:schemeClr>
            </a:gs>
            <a:gs pos="100000">
              <a:schemeClr val="accent1">
                <a:tint val="23500"/>
                <a:satMod val="160000"/>
              </a:schemeClr>
            </a:gs>
          </a:gsLst>
          <a:lin ang="5400000" scaled="false"/>
        </a:gradFill>
      </c:spPr>
    </c:plotArea>
    <c:plotVisOnly val="true"/>
    <c:dispBlanksAs val="gap"/>
    <c:showDLblsOverMax val="false"/>
  </c:chart>
  <c:spPr>
    <a:gradFill>
      <a:gsLst>
        <a:gs pos="0">
          <a:schemeClr val="tx1">
            <a:lumMod val="75000"/>
            <a:lumOff val="25000"/>
          </a:schemeClr>
        </a:gs>
        <a:gs pos="100000">
          <a:schemeClr val="tx1">
            <a:lumMod val="75000"/>
            <a:lumOff val="25000"/>
          </a:schemeClr>
        </a:gs>
        <a:gs pos="100000">
          <a:schemeClr val="accent1">
            <a:tint val="23500"/>
            <a:satMod val="160000"/>
          </a:schemeClr>
        </a:gs>
      </a:gsLst>
      <a:lin ang="5400000" scaled="false"/>
    </a:gradFill>
  </c:spPr>
  <c:txPr>
    <a:bodyPr/>
    <a:lstStyle/>
    <a:p>
      <a:pPr>
        <a:defRPr lang="zh-CN"/>
      </a:pPr>
    </a:p>
  </c:txPr>
  <c:externalData r:id="rId1">
    <c:autoUpdate val="false"/>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1" i="0" u="none" strike="noStrike" kern="1200" baseline="0">
                <a:solidFill>
                  <a:schemeClr val="bg1"/>
                </a:solidFill>
                <a:latin typeface="+mn-lt"/>
                <a:ea typeface="+mn-ea"/>
                <a:cs typeface="+mn-cs"/>
              </a:defRPr>
            </a:pPr>
            <a:r>
              <a:rPr lang="en-US" sz="1400">
                <a:solidFill>
                  <a:schemeClr val="bg1"/>
                </a:solidFill>
              </a:rPr>
              <a:t>2022</a:t>
            </a:r>
            <a:r>
              <a:rPr lang="zh-CN" sz="1400">
                <a:solidFill>
                  <a:schemeClr val="bg1"/>
                </a:solidFill>
              </a:rPr>
              <a:t>年收入决算结构图</a:t>
            </a:r>
            <a:endParaRPr lang="zh-CN" sz="1400">
              <a:solidFill>
                <a:schemeClr val="bg1"/>
              </a:solidFill>
            </a:endParaRPr>
          </a:p>
        </c:rich>
      </c:tx>
      <c:layout>
        <c:manualLayout>
          <c:xMode val="edge"/>
          <c:yMode val="edge"/>
          <c:x val="0.0235277777777778"/>
          <c:y val="0.0416666666666667"/>
        </c:manualLayout>
      </c:layout>
      <c:overlay val="false"/>
    </c:title>
    <c:autoTitleDeleted val="false"/>
    <c:plotArea>
      <c:layout>
        <c:manualLayout>
          <c:layoutTarget val="inner"/>
          <c:xMode val="edge"/>
          <c:yMode val="edge"/>
          <c:x val="0.380350492506004"/>
          <c:y val="0.179552615588922"/>
          <c:w val="0.27066986136868"/>
          <c:h val="0.594885126232729"/>
        </c:manualLayout>
      </c:layout>
      <c:pieChart>
        <c:varyColors val="true"/>
        <c:ser>
          <c:idx val="0"/>
          <c:order val="0"/>
          <c:explosion val="0"/>
          <c:dPt>
            <c:idx val="0"/>
            <c:bubble3D val="false"/>
          </c:dPt>
          <c:dLbls>
            <c:dLbl>
              <c:idx val="0"/>
              <c:layout>
                <c:manualLayout>
                  <c:x val="0.000801027047392644"/>
                  <c:y val="-0.400654819891125"/>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solidFill>
                          <a:schemeClr val="bg1"/>
                        </a:solidFill>
                      </a:rPr>
                      <a:t>43</a:t>
                    </a:r>
                    <a:r>
                      <a:rPr lang="en-US" altLang="zh-CN">
                        <a:solidFill>
                          <a:schemeClr val="bg1"/>
                        </a:solidFill>
                      </a:rPr>
                      <a:t>6.35</a:t>
                    </a:r>
                    <a:endParaRPr lang="en-US" altLang="en-US">
                      <a:solidFill>
                        <a:schemeClr val="bg1"/>
                      </a:solidFill>
                    </a:endParaRPr>
                  </a:p>
                  <a:p>
                    <a:pPr>
                      <a:defRPr lang="zh-CN" sz="1000" b="0" i="0" u="none" strike="noStrike" kern="1200" baseline="0">
                        <a:solidFill>
                          <a:schemeClr val="tx1"/>
                        </a:solidFill>
                        <a:latin typeface="+mn-lt"/>
                        <a:ea typeface="+mn-ea"/>
                        <a:cs typeface="+mn-cs"/>
                      </a:defRPr>
                    </a:pPr>
                    <a:r>
                      <a:rPr lang="en-US" altLang="en-US">
                        <a:solidFill>
                          <a:schemeClr val="bg1"/>
                        </a:solidFill>
                      </a:rPr>
                      <a:t>100%</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Sheet2!$A$3</c:f>
              <c:strCache>
                <c:ptCount val="1"/>
                <c:pt idx="0">
                  <c:v>一般公共预算财政拨款收入</c:v>
                </c:pt>
              </c:strCache>
            </c:strRef>
          </c:cat>
          <c:val>
            <c:numRef>
              <c:f>Sheet2!$B$3</c:f>
              <c:numCache>
                <c:formatCode>General</c:formatCode>
                <c:ptCount val="1"/>
                <c:pt idx="0">
                  <c:v>435.82</c:v>
                </c:pt>
              </c:numCache>
            </c:numRef>
          </c:val>
        </c:ser>
        <c:dLbls>
          <c:showLegendKey val="false"/>
          <c:showVal val="false"/>
          <c:showCatName val="false"/>
          <c:showSerName val="false"/>
          <c:showPercent val="false"/>
          <c:showBubbleSize val="false"/>
          <c:showLeaderLines val="true"/>
        </c:dLbls>
        <c:firstSliceAng val="0"/>
      </c:pieChart>
    </c:plotArea>
    <c:legend>
      <c:legendPos val="b"/>
      <c:layout>
        <c:manualLayout>
          <c:xMode val="edge"/>
          <c:yMode val="edge"/>
          <c:x val="0.300040164025066"/>
          <c:y val="0.845883517885536"/>
          <c:w val="0.383370676226447"/>
          <c:h val="0.0578112987675102"/>
        </c:manualLayout>
      </c:layout>
      <c:overlay val="false"/>
      <c:txPr>
        <a:bodyPr rot="0" spcFirstLastPara="0" vertOverflow="ellipsis" vert="horz" wrap="square" anchor="ctr" anchorCtr="true"/>
        <a:lstStyle/>
        <a:p>
          <a:pPr>
            <a:defRPr lang="zh-CN" sz="900" b="0" i="0" u="none" strike="noStrike" kern="1200" baseline="0">
              <a:solidFill>
                <a:schemeClr val="bg1"/>
              </a:solidFill>
              <a:latin typeface="+mn-lt"/>
              <a:ea typeface="+mn-ea"/>
              <a:cs typeface="+mn-cs"/>
            </a:defRPr>
          </a:pPr>
        </a:p>
      </c:txPr>
    </c:legend>
    <c:plotVisOnly val="true"/>
    <c:dispBlanksAs val="gap"/>
    <c:showDLblsOverMax val="false"/>
  </c:chart>
  <c:spPr>
    <a:gradFill>
      <a:gsLst>
        <a:gs pos="0">
          <a:schemeClr val="tx1">
            <a:lumMod val="85000"/>
            <a:lumOff val="15000"/>
          </a:schemeClr>
        </a:gs>
        <a:gs pos="100000">
          <a:schemeClr val="tx1">
            <a:lumMod val="65000"/>
            <a:lumOff val="35000"/>
          </a:schemeClr>
        </a:gs>
        <a:gs pos="100000">
          <a:schemeClr val="accent1">
            <a:tint val="23500"/>
            <a:satMod val="160000"/>
          </a:schemeClr>
        </a:gs>
      </a:gsLst>
      <a:lin ang="5400000" scaled="false"/>
    </a:gradFill>
  </c:spPr>
  <c:txPr>
    <a:bodyPr/>
    <a:lstStyle/>
    <a:p>
      <a:pPr>
        <a:defRPr lang="zh-CN"/>
      </a:pPr>
    </a:p>
  </c:txPr>
  <c:externalData r:id="rId1">
    <c:autoUpdate val="false"/>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1" i="0" u="none" strike="noStrike" kern="1200" baseline="0">
                <a:solidFill>
                  <a:schemeClr val="bg1"/>
                </a:solidFill>
                <a:latin typeface="+mn-lt"/>
                <a:ea typeface="+mn-ea"/>
                <a:cs typeface="+mn-cs"/>
              </a:defRPr>
            </a:pPr>
            <a:r>
              <a:rPr lang="en-US" altLang="zh-CN" sz="1400">
                <a:solidFill>
                  <a:schemeClr val="bg1"/>
                </a:solidFill>
              </a:rPr>
              <a:t>2022</a:t>
            </a:r>
            <a:r>
              <a:rPr lang="zh-CN" altLang="en-US" sz="1400">
                <a:solidFill>
                  <a:schemeClr val="bg1"/>
                </a:solidFill>
              </a:rPr>
              <a:t>年支出决算结构图</a:t>
            </a:r>
            <a:endParaRPr lang="zh-CN" altLang="en-US" sz="1400">
              <a:solidFill>
                <a:schemeClr val="bg1"/>
              </a:solidFill>
            </a:endParaRPr>
          </a:p>
        </c:rich>
      </c:tx>
      <c:layout>
        <c:manualLayout>
          <c:xMode val="edge"/>
          <c:yMode val="edge"/>
          <c:x val="0.0429722222222222"/>
          <c:y val="0.0277777777777778"/>
        </c:manualLayout>
      </c:layout>
      <c:overlay val="false"/>
    </c:title>
    <c:autoTitleDeleted val="false"/>
    <c:plotArea>
      <c:layout>
        <c:manualLayout>
          <c:layoutTarget val="inner"/>
          <c:xMode val="edge"/>
          <c:yMode val="edge"/>
          <c:x val="0.339341097987752"/>
          <c:y val="0.180070493580647"/>
          <c:w val="0.295854841061534"/>
          <c:h val="0.679475233059982"/>
        </c:manualLayout>
      </c:layout>
      <c:pieChart>
        <c:varyColors val="true"/>
        <c:ser>
          <c:idx val="0"/>
          <c:order val="0"/>
          <c:explosion val="0"/>
          <c:dPt>
            <c:idx val="0"/>
            <c:bubble3D val="false"/>
          </c:dPt>
          <c:dPt>
            <c:idx val="1"/>
            <c:bubble3D val="false"/>
          </c:dPt>
          <c:dLbls>
            <c:dLbl>
              <c:idx val="0"/>
              <c:layout>
                <c:manualLayout>
                  <c:x val="-0.0625393700787402"/>
                  <c:y val="-0.228550598598652"/>
                </c:manualLayout>
              </c:layout>
              <c:tx>
                <c:rich>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r>
                      <a:rPr lang="en-US" altLang="en-US" sz="800"/>
                      <a:t>404.63</a:t>
                    </a:r>
                    <a:endParaRPr lang="en-US" altLang="en-US" sz="800"/>
                  </a:p>
                  <a:p>
                    <a:pPr>
                      <a:defRPr lang="zh-CN" sz="800" b="0" i="0" u="none" strike="noStrike" kern="1200" baseline="0">
                        <a:solidFill>
                          <a:schemeClr val="bg1"/>
                        </a:solidFill>
                        <a:latin typeface="+mn-lt"/>
                        <a:ea typeface="+mn-ea"/>
                        <a:cs typeface="+mn-cs"/>
                      </a:defRPr>
                    </a:pPr>
                    <a:r>
                      <a:rPr lang="en-US" altLang="en-US" sz="800"/>
                      <a:t>78.00</a:t>
                    </a:r>
                    <a:r>
                      <a:rPr lang="en-US" altLang="zh-CN" sz="800"/>
                      <a:t>%</a:t>
                    </a:r>
                    <a:endParaRPr lang="en-US" altLang="en-US" sz="800"/>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535360163312919"/>
                  <c:y val="0.13449029762109"/>
                </c:manualLayout>
              </c:layout>
              <c:tx>
                <c:rich>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r>
                      <a:rPr lang="en-US" altLang="en-US" sz="800"/>
                      <a:t>48.32</a:t>
                    </a:r>
                    <a:endParaRPr lang="en-US" altLang="en-US" sz="800"/>
                  </a:p>
                  <a:p>
                    <a:pPr>
                      <a:defRPr lang="zh-CN" sz="800" b="0" i="0" u="none" strike="noStrike" kern="1200" baseline="0">
                        <a:solidFill>
                          <a:schemeClr val="bg1"/>
                        </a:solidFill>
                        <a:latin typeface="+mn-lt"/>
                        <a:ea typeface="+mn-ea"/>
                        <a:cs typeface="+mn-cs"/>
                      </a:defRPr>
                    </a:pPr>
                    <a:r>
                      <a:rPr lang="en-US" altLang="en-US" sz="800"/>
                      <a:t>22.00</a:t>
                    </a:r>
                    <a:r>
                      <a:rPr lang="en-US" altLang="zh-CN" sz="800"/>
                      <a:t>%</a:t>
                    </a:r>
                    <a:endParaRPr lang="en-US" altLang="en-US" sz="800"/>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bg1"/>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Sheet3!$A$3:$A$4</c:f>
              <c:strCache>
                <c:ptCount val="2"/>
                <c:pt idx="0">
                  <c:v>基本支出</c:v>
                </c:pt>
                <c:pt idx="1">
                  <c:v>项目支出</c:v>
                </c:pt>
              </c:strCache>
            </c:strRef>
          </c:cat>
          <c:val>
            <c:numRef>
              <c:f>Sheet3!$B$3:$B$4</c:f>
              <c:numCache>
                <c:formatCode>General</c:formatCode>
                <c:ptCount val="2"/>
                <c:pt idx="0">
                  <c:v>404.63</c:v>
                </c:pt>
                <c:pt idx="1">
                  <c:v>48.32</c:v>
                </c:pt>
              </c:numCache>
            </c:numRef>
          </c:val>
        </c:ser>
        <c:dLbls>
          <c:showLegendKey val="false"/>
          <c:showVal val="false"/>
          <c:showCatName val="false"/>
          <c:showSerName val="false"/>
          <c:showPercent val="false"/>
          <c:showBubbleSize val="false"/>
          <c:showLeaderLines val="true"/>
        </c:dLbls>
        <c:firstSliceAng val="0"/>
      </c:pieChart>
    </c:plotArea>
    <c:legend>
      <c:legendPos val="b"/>
      <c:layout/>
      <c:overlay val="false"/>
      <c:txPr>
        <a:bodyPr rot="0" spcFirstLastPara="0" vertOverflow="ellipsis" vert="horz" wrap="square" anchor="ctr" anchorCtr="true"/>
        <a:lstStyle/>
        <a:p>
          <a:pPr>
            <a:defRPr lang="zh-CN" sz="900" b="0" i="0" u="none" strike="noStrike" kern="1200" baseline="0">
              <a:solidFill>
                <a:schemeClr val="bg1"/>
              </a:solidFill>
              <a:latin typeface="+mn-lt"/>
              <a:ea typeface="+mn-ea"/>
              <a:cs typeface="+mn-cs"/>
            </a:defRPr>
          </a:pPr>
        </a:p>
      </c:txPr>
    </c:legend>
    <c:plotVisOnly val="true"/>
    <c:dispBlanksAs val="gap"/>
    <c:showDLblsOverMax val="false"/>
  </c:chart>
  <c:spPr>
    <a:gradFill flip="none" rotWithShape="true">
      <a:gsLst>
        <a:gs pos="750">
          <a:schemeClr val="tx1">
            <a:lumMod val="85000"/>
            <a:lumOff val="15000"/>
          </a:schemeClr>
        </a:gs>
        <a:gs pos="500">
          <a:srgbClr val="333333"/>
        </a:gs>
        <a:gs pos="53000">
          <a:schemeClr val="tx1">
            <a:lumMod val="65000"/>
            <a:lumOff val="35000"/>
          </a:schemeClr>
        </a:gs>
        <a:gs pos="7000">
          <a:schemeClr val="tx1">
            <a:lumMod val="95000"/>
            <a:lumOff val="5000"/>
          </a:schemeClr>
        </a:gs>
        <a:gs pos="41000">
          <a:schemeClr val="tx1">
            <a:lumMod val="75000"/>
            <a:lumOff val="25000"/>
          </a:schemeClr>
        </a:gs>
      </a:gsLst>
      <a:path path="circle">
        <a:fillToRect l="100000" t="100000"/>
      </a:path>
      <a:tileRect r="-100000" b="-100000"/>
    </a:gradFill>
  </c:spPr>
  <c:txPr>
    <a:bodyPr/>
    <a:lstStyle/>
    <a:p>
      <a:pPr>
        <a:defRPr lang="zh-CN"/>
      </a:pPr>
    </a:p>
  </c:txPr>
  <c:externalData r:id="rId1">
    <c:autoUpdate val="false"/>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a:lstStyle/>
          <a:p>
            <a:pPr>
              <a:defRPr lang="zh-CN" sz="1400" b="1" i="0" u="none" strike="noStrike" kern="1200" baseline="0">
                <a:solidFill>
                  <a:schemeClr val="bg1"/>
                </a:solidFill>
                <a:latin typeface="+mn-lt"/>
                <a:ea typeface="+mn-ea"/>
                <a:cs typeface="+mn-cs"/>
              </a:defRPr>
            </a:pPr>
            <a:r>
              <a:rPr lang="en-US" altLang="zh-CN" sz="1400">
                <a:solidFill>
                  <a:schemeClr val="bg1"/>
                </a:solidFill>
              </a:rPr>
              <a:t>2022</a:t>
            </a:r>
            <a:r>
              <a:rPr lang="zh-CN" altLang="en-US" sz="1400">
                <a:solidFill>
                  <a:schemeClr val="bg1"/>
                </a:solidFill>
              </a:rPr>
              <a:t>年</a:t>
            </a:r>
            <a:r>
              <a:rPr lang="zh-CN" altLang="zh-CN" sz="1400" b="1" i="0" u="none" strike="noStrike" baseline="0">
                <a:effectLst/>
              </a:rPr>
              <a:t>财政拨款收、支决算总计变动情况</a:t>
            </a:r>
            <a:endParaRPr lang="zh-CN" altLang="en-US" sz="1400">
              <a:solidFill>
                <a:schemeClr val="bg1"/>
              </a:solidFill>
            </a:endParaRPr>
          </a:p>
        </c:rich>
      </c:tx>
      <c:layout>
        <c:manualLayout>
          <c:xMode val="edge"/>
          <c:yMode val="edge"/>
          <c:x val="0.0274939669033989"/>
          <c:y val="0.0361407973203143"/>
        </c:manualLayout>
      </c:layout>
      <c:overlay val="false"/>
    </c:title>
    <c:autoTitleDeleted val="false"/>
    <c:plotArea>
      <c:layout>
        <c:manualLayout>
          <c:layoutTarget val="inner"/>
          <c:xMode val="edge"/>
          <c:yMode val="edge"/>
          <c:x val="0.0768698058321132"/>
          <c:y val="0.228809873210867"/>
          <c:w val="0.89910717360446"/>
          <c:h val="0.612408180521059"/>
        </c:manualLayout>
      </c:layout>
      <c:barChart>
        <c:barDir val="col"/>
        <c:grouping val="clustered"/>
        <c:varyColors val="false"/>
        <c:ser>
          <c:idx val="0"/>
          <c:order val="0"/>
          <c:tx>
            <c:strRef>
              <c:f>图表4!$B$3</c:f>
              <c:strCache>
                <c:ptCount val="1"/>
                <c:pt idx="0">
                  <c:v>2022年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图表4!$A$4:$A$5</c:f>
              <c:strCache>
                <c:ptCount val="2"/>
                <c:pt idx="0">
                  <c:v>收入</c:v>
                </c:pt>
                <c:pt idx="1">
                  <c:v>支出</c:v>
                </c:pt>
              </c:strCache>
            </c:strRef>
          </c:cat>
          <c:val>
            <c:numRef>
              <c:f>图表4!$B$4:$B$5</c:f>
              <c:numCache>
                <c:formatCode>General</c:formatCode>
                <c:ptCount val="2"/>
                <c:pt idx="0">
                  <c:v>436.35</c:v>
                </c:pt>
                <c:pt idx="1">
                  <c:v>452.95</c:v>
                </c:pt>
              </c:numCache>
            </c:numRef>
          </c:val>
        </c:ser>
        <c:ser>
          <c:idx val="1"/>
          <c:order val="1"/>
          <c:tx>
            <c:strRef>
              <c:f>图表4!$C$3</c:f>
              <c:strCache>
                <c:ptCount val="1"/>
                <c:pt idx="0">
                  <c:v>2021年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图表4!$A$4:$A$5</c:f>
              <c:strCache>
                <c:ptCount val="2"/>
                <c:pt idx="0">
                  <c:v>收入</c:v>
                </c:pt>
                <c:pt idx="1">
                  <c:v>支出</c:v>
                </c:pt>
              </c:strCache>
            </c:strRef>
          </c:cat>
          <c:val>
            <c:numRef>
              <c:f>图表4!$C$4:$C$5</c:f>
              <c:numCache>
                <c:formatCode>General</c:formatCode>
                <c:ptCount val="2"/>
                <c:pt idx="0">
                  <c:v>435.82</c:v>
                </c:pt>
                <c:pt idx="1">
                  <c:v>440.59</c:v>
                </c:pt>
              </c:numCache>
            </c:numRef>
          </c:val>
        </c:ser>
        <c:ser>
          <c:idx val="2"/>
          <c:order val="2"/>
          <c:tx>
            <c:strRef>
              <c:f>图表4!$D$3</c:f>
              <c:strCache>
                <c:ptCount val="1"/>
                <c:pt idx="0">
                  <c:v>上升额度</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图表4!$A$4:$A$5</c:f>
              <c:strCache>
                <c:ptCount val="2"/>
                <c:pt idx="0">
                  <c:v>收入</c:v>
                </c:pt>
                <c:pt idx="1">
                  <c:v>支出</c:v>
                </c:pt>
              </c:strCache>
            </c:strRef>
          </c:cat>
          <c:val>
            <c:numRef>
              <c:f>图表4!$D$4:$D$5</c:f>
              <c:numCache>
                <c:formatCode>General</c:formatCode>
                <c:ptCount val="2"/>
                <c:pt idx="0">
                  <c:v>0.53000000000003</c:v>
                </c:pt>
                <c:pt idx="1">
                  <c:v>12.36</c:v>
                </c:pt>
              </c:numCache>
            </c:numRef>
          </c:val>
        </c:ser>
        <c:dLbls>
          <c:showLegendKey val="false"/>
          <c:showVal val="false"/>
          <c:showCatName val="false"/>
          <c:showSerName val="false"/>
          <c:showPercent val="false"/>
          <c:showBubbleSize val="false"/>
        </c:dLbls>
        <c:gapWidth val="75"/>
        <c:overlap val="-25"/>
        <c:axId val="239473408"/>
        <c:axId val="239474944"/>
      </c:barChart>
      <c:catAx>
        <c:axId val="239473408"/>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bg1"/>
                </a:solidFill>
                <a:latin typeface="+mn-lt"/>
                <a:ea typeface="+mn-ea"/>
                <a:cs typeface="+mn-cs"/>
              </a:defRPr>
            </a:pPr>
          </a:p>
        </c:txPr>
        <c:crossAx val="239474944"/>
        <c:crosses val="autoZero"/>
        <c:auto val="true"/>
        <c:lblAlgn val="ctr"/>
        <c:lblOffset val="100"/>
        <c:noMultiLvlLbl val="false"/>
      </c:catAx>
      <c:valAx>
        <c:axId val="239474944"/>
        <c:scaling>
          <c:orientation val="minMax"/>
        </c:scaling>
        <c:delete val="false"/>
        <c:axPos val="l"/>
        <c:majorGridlines>
          <c:spPr>
            <a:ln w="9525" cap="flat" cmpd="sng" algn="ctr">
              <a:noFill/>
              <a:prstDash val="solid"/>
              <a:round/>
            </a:ln>
          </c:spPr>
        </c:majorGridlines>
        <c:numFmt formatCode="General" sourceLinked="true"/>
        <c:majorTickMark val="none"/>
        <c:minorTickMark val="none"/>
        <c:tickLblPos val="nextTo"/>
        <c:spPr>
          <a:ln w="9525" cap="flat" cmpd="sng" algn="ctr">
            <a:noFill/>
            <a:prstDash val="solid"/>
            <a:round/>
          </a:ln>
        </c:spPr>
        <c:txPr>
          <a:bodyPr rot="-60000000" spcFirstLastPara="0" vertOverflow="ellipsis" vert="horz" wrap="square" anchor="ctr" anchorCtr="true"/>
          <a:lstStyle/>
          <a:p>
            <a:pPr>
              <a:defRPr lang="zh-CN" sz="1000" b="0" i="0" u="none" strike="noStrike" kern="1200" baseline="0">
                <a:solidFill>
                  <a:schemeClr val="bg1"/>
                </a:solidFill>
                <a:latin typeface="+mn-lt"/>
                <a:ea typeface="+mn-ea"/>
                <a:cs typeface="+mn-cs"/>
              </a:defRPr>
            </a:pPr>
          </a:p>
        </c:txPr>
        <c:crossAx val="239473408"/>
        <c:crosses val="autoZero"/>
        <c:crossBetween val="between"/>
        <c:majorUnit val="100"/>
      </c:valAx>
      <c:spPr>
        <a:noFill/>
      </c:spPr>
    </c:plotArea>
    <c:legend>
      <c:legendPos val="b"/>
      <c:layout>
        <c:manualLayout>
          <c:xMode val="edge"/>
          <c:yMode val="edge"/>
          <c:x val="0.324378137881943"/>
          <c:y val="0.856222586270676"/>
          <c:w val="0.346437492880814"/>
          <c:h val="0.0871134213380203"/>
        </c:manualLayout>
      </c:layout>
      <c:overlay val="false"/>
      <c:txPr>
        <a:bodyPr rot="0" spcFirstLastPara="0" vertOverflow="ellipsis" vert="horz" wrap="square" anchor="ctr" anchorCtr="true"/>
        <a:lstStyle/>
        <a:p>
          <a:pPr>
            <a:defRPr lang="zh-CN" sz="900" b="0" i="0" u="none" strike="noStrike" kern="1200" baseline="0">
              <a:solidFill>
                <a:schemeClr val="bg1"/>
              </a:solidFill>
              <a:latin typeface="+mn-lt"/>
              <a:ea typeface="+mn-ea"/>
              <a:cs typeface="+mn-cs"/>
            </a:defRPr>
          </a:pPr>
        </a:p>
      </c:txPr>
    </c:legend>
    <c:plotVisOnly val="true"/>
    <c:dispBlanksAs val="gap"/>
    <c:showDLblsOverMax val="false"/>
  </c:chart>
  <c:spPr>
    <a:gradFill>
      <a:gsLst>
        <a:gs pos="0">
          <a:schemeClr val="tx1">
            <a:lumMod val="65000"/>
            <a:lumOff val="35000"/>
          </a:schemeClr>
        </a:gs>
        <a:gs pos="500">
          <a:srgbClr val="333333"/>
        </a:gs>
        <a:gs pos="0">
          <a:schemeClr val="tx1">
            <a:lumMod val="85000"/>
            <a:lumOff val="15000"/>
          </a:schemeClr>
        </a:gs>
        <a:gs pos="0">
          <a:srgbClr val="404040"/>
        </a:gs>
        <a:gs pos="0">
          <a:schemeClr val="tx1">
            <a:lumMod val="95000"/>
            <a:lumOff val="5000"/>
          </a:schemeClr>
        </a:gs>
        <a:gs pos="1000">
          <a:schemeClr val="tx1">
            <a:lumMod val="75000"/>
            <a:lumOff val="25000"/>
          </a:schemeClr>
        </a:gs>
        <a:gs pos="0">
          <a:srgbClr val="FFEBFA"/>
        </a:gs>
      </a:gsLst>
      <a:path path="circle">
        <a:fillToRect l="100000" t="100000"/>
      </a:path>
    </a:gradFill>
  </c:spPr>
  <c:txPr>
    <a:bodyPr/>
    <a:lstStyle/>
    <a:p>
      <a:pPr>
        <a:defRPr lang="zh-CN"/>
      </a:pPr>
    </a:p>
  </c:txPr>
  <c:externalData r:id="rId1">
    <c:autoUpdate val="false"/>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a:lstStyle/>
          <a:p>
            <a:pPr>
              <a:defRPr lang="zh-CN" sz="1400" b="1" i="0" u="none" strike="noStrike" kern="1200" baseline="0">
                <a:solidFill>
                  <a:schemeClr val="bg1"/>
                </a:solidFill>
                <a:latin typeface="+mn-lt"/>
                <a:ea typeface="+mn-ea"/>
                <a:cs typeface="+mn-cs"/>
              </a:defRPr>
            </a:pPr>
            <a:r>
              <a:rPr lang="en-US" altLang="zh-CN" sz="1400" b="1" i="0" u="none" strike="noStrike" baseline="0">
                <a:solidFill>
                  <a:schemeClr val="bg1"/>
                </a:solidFill>
                <a:effectLst/>
              </a:rPr>
              <a:t>2022</a:t>
            </a:r>
            <a:r>
              <a:rPr lang="zh-CN" altLang="en-US" sz="1400" b="1" i="0" u="none" strike="noStrike" baseline="0">
                <a:solidFill>
                  <a:schemeClr val="bg1"/>
                </a:solidFill>
                <a:effectLst/>
              </a:rPr>
              <a:t>年</a:t>
            </a:r>
            <a:r>
              <a:rPr lang="zh-CN" altLang="zh-CN" sz="1400" b="1" i="0" u="none" strike="noStrike" baseline="0">
                <a:solidFill>
                  <a:schemeClr val="bg1"/>
                </a:solidFill>
                <a:effectLst/>
              </a:rPr>
              <a:t>一般公共预算财政拨款支出决算变动情况</a:t>
            </a:r>
            <a:endParaRPr lang="zh-CN" altLang="en-US" sz="1400">
              <a:solidFill>
                <a:schemeClr val="bg1"/>
              </a:solidFill>
            </a:endParaRPr>
          </a:p>
        </c:rich>
      </c:tx>
      <c:layout>
        <c:manualLayout>
          <c:xMode val="edge"/>
          <c:yMode val="edge"/>
          <c:x val="0.0489199259252096"/>
          <c:y val="0.0401328075481651"/>
        </c:manualLayout>
      </c:layout>
      <c:overlay val="false"/>
    </c:title>
    <c:autoTitleDeleted val="false"/>
    <c:plotArea>
      <c:layout>
        <c:manualLayout>
          <c:layoutTarget val="inner"/>
          <c:xMode val="edge"/>
          <c:yMode val="edge"/>
          <c:x val="0.086071741032371"/>
          <c:y val="0.254178331875182"/>
          <c:w val="0.883372703412074"/>
          <c:h val="0.578532006415865"/>
        </c:manualLayout>
      </c:layout>
      <c:barChart>
        <c:barDir val="col"/>
        <c:grouping val="clustered"/>
        <c:varyColors val="false"/>
        <c:ser>
          <c:idx val="0"/>
          <c:order val="0"/>
          <c:spPr>
            <a:solidFill>
              <a:schemeClr val="tx2">
                <a:lumMod val="60000"/>
                <a:lumOff val="40000"/>
              </a:schemeClr>
            </a:solidFill>
          </c:spPr>
          <c:invertIfNegative val="false"/>
          <c:dPt>
            <c:idx val="1"/>
            <c:invertIfNegative val="false"/>
            <c:bubble3D val="false"/>
            <c:spPr>
              <a:solidFill>
                <a:srgbClr val="C00000"/>
              </a:solidFill>
            </c:spPr>
          </c:dPt>
          <c:dPt>
            <c:idx val="2"/>
            <c:invertIfNegative val="false"/>
            <c:bubble3D val="false"/>
            <c:spPr>
              <a:solidFill>
                <a:srgbClr val="92D050"/>
              </a:solidFill>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bg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图表5!$B$3:$D$3</c:f>
              <c:strCache>
                <c:ptCount val="3"/>
                <c:pt idx="0">
                  <c:v>2022年</c:v>
                </c:pt>
                <c:pt idx="1">
                  <c:v>2021年</c:v>
                </c:pt>
                <c:pt idx="2">
                  <c:v>上升额度</c:v>
                </c:pt>
              </c:strCache>
            </c:strRef>
          </c:cat>
          <c:val>
            <c:numRef>
              <c:f>图表5!$B$4:$D$4</c:f>
              <c:numCache>
                <c:formatCode>General</c:formatCode>
                <c:ptCount val="3"/>
                <c:pt idx="0">
                  <c:v>452.95</c:v>
                </c:pt>
                <c:pt idx="1">
                  <c:v>440.59</c:v>
                </c:pt>
                <c:pt idx="2">
                  <c:v>12.36</c:v>
                </c:pt>
              </c:numCache>
            </c:numRef>
          </c:val>
        </c:ser>
        <c:dLbls>
          <c:showLegendKey val="false"/>
          <c:showVal val="true"/>
          <c:showCatName val="false"/>
          <c:showSerName val="false"/>
          <c:showPercent val="false"/>
          <c:showBubbleSize val="false"/>
        </c:dLbls>
        <c:gapWidth val="150"/>
        <c:overlap val="-25"/>
        <c:axId val="235793792"/>
        <c:axId val="239176704"/>
      </c:barChart>
      <c:catAx>
        <c:axId val="235793792"/>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bg1"/>
                </a:solidFill>
                <a:latin typeface="+mn-lt"/>
                <a:ea typeface="+mn-ea"/>
                <a:cs typeface="+mn-cs"/>
              </a:defRPr>
            </a:pPr>
          </a:p>
        </c:txPr>
        <c:crossAx val="239176704"/>
        <c:crosses val="autoZero"/>
        <c:auto val="true"/>
        <c:lblAlgn val="ctr"/>
        <c:lblOffset val="100"/>
        <c:noMultiLvlLbl val="false"/>
      </c:catAx>
      <c:valAx>
        <c:axId val="239176704"/>
        <c:scaling>
          <c:orientation val="minMax"/>
        </c:scaling>
        <c:delete val="false"/>
        <c:axPos val="l"/>
        <c:numFmt formatCode="General" sourceLinked="true"/>
        <c:majorTickMark val="out"/>
        <c:minorTickMark val="none"/>
        <c:tickLblPos val="nextTo"/>
        <c:spPr>
          <a:ln w="9525" cap="flat" cmpd="sng" algn="ctr">
            <a:noFill/>
            <a:prstDash val="solid"/>
            <a:round/>
          </a:ln>
        </c:spPr>
        <c:txPr>
          <a:bodyPr rot="-60000000" spcFirstLastPara="0" vertOverflow="ellipsis" vert="horz" wrap="square" anchor="ctr" anchorCtr="true"/>
          <a:lstStyle/>
          <a:p>
            <a:pPr>
              <a:defRPr lang="zh-CN" sz="1000" b="0" i="0" u="none" strike="noStrike" kern="1200" baseline="0">
                <a:solidFill>
                  <a:schemeClr val="bg1"/>
                </a:solidFill>
                <a:latin typeface="+mn-lt"/>
                <a:ea typeface="+mn-ea"/>
                <a:cs typeface="+mn-cs"/>
              </a:defRPr>
            </a:pPr>
          </a:p>
        </c:txPr>
        <c:crossAx val="235793792"/>
        <c:crosses val="autoZero"/>
        <c:crossBetween val="between"/>
        <c:majorUnit val="100"/>
      </c:valAx>
      <c:spPr>
        <a:gradFill>
          <a:gsLst>
            <a:gs pos="100000">
              <a:sysClr val="windowText" lastClr="000000">
                <a:lumMod val="75000"/>
                <a:lumOff val="25000"/>
              </a:sysClr>
            </a:gs>
            <a:gs pos="100000">
              <a:sysClr val="windowText" lastClr="000000"/>
            </a:gs>
          </a:gsLst>
          <a:path path="circle">
            <a:fillToRect l="100000" t="100000"/>
          </a:path>
        </a:gradFill>
      </c:spPr>
    </c:plotArea>
    <c:plotVisOnly val="true"/>
    <c:dispBlanksAs val="gap"/>
    <c:showDLblsOverMax val="false"/>
  </c:chart>
  <c:spPr>
    <a:gradFill flip="none" rotWithShape="true">
      <a:gsLst>
        <a:gs pos="100000">
          <a:sysClr val="windowText" lastClr="000000">
            <a:lumMod val="75000"/>
            <a:lumOff val="25000"/>
          </a:sysClr>
        </a:gs>
        <a:gs pos="100000">
          <a:sysClr val="windowText" lastClr="000000">
            <a:lumMod val="65000"/>
            <a:lumOff val="35000"/>
          </a:sysClr>
        </a:gs>
      </a:gsLst>
      <a:path path="circle">
        <a:fillToRect l="100000" t="100000"/>
      </a:path>
      <a:tileRect r="-100000" b="-100000"/>
    </a:gradFill>
  </c:spPr>
  <c:txPr>
    <a:bodyPr/>
    <a:lstStyle/>
    <a:p>
      <a:pPr>
        <a:defRPr lang="zh-CN"/>
      </a:pPr>
    </a:p>
  </c:txPr>
  <c:externalData r:id="rId1">
    <c:autoUpdate val="false"/>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a:lstStyle/>
          <a:p>
            <a:pPr>
              <a:defRPr lang="zh-CN" sz="1400" b="1" i="0" u="none" strike="noStrike" kern="1200" baseline="0">
                <a:solidFill>
                  <a:schemeClr val="bg1"/>
                </a:solidFill>
                <a:latin typeface="+mn-lt"/>
                <a:ea typeface="+mn-ea"/>
                <a:cs typeface="+mn-cs"/>
              </a:defRPr>
            </a:pPr>
            <a:r>
              <a:rPr lang="en-US" altLang="zh-CN" sz="1400">
                <a:solidFill>
                  <a:schemeClr val="bg1"/>
                </a:solidFill>
              </a:rPr>
              <a:t>2022</a:t>
            </a:r>
            <a:r>
              <a:rPr lang="zh-CN" altLang="en-US" sz="1400">
                <a:solidFill>
                  <a:schemeClr val="bg1"/>
                </a:solidFill>
              </a:rPr>
              <a:t>年一般公共预算财政拨款支出</a:t>
            </a:r>
            <a:r>
              <a:rPr lang="zh-CN" altLang="zh-CN" sz="1400" b="1" i="0" u="none" strike="noStrike" baseline="0">
                <a:effectLst/>
              </a:rPr>
              <a:t>决算结构</a:t>
            </a:r>
            <a:endParaRPr lang="zh-CN" altLang="en-US" sz="1400">
              <a:solidFill>
                <a:schemeClr val="bg1"/>
              </a:solidFill>
            </a:endParaRPr>
          </a:p>
        </c:rich>
      </c:tx>
      <c:layout>
        <c:manualLayout>
          <c:xMode val="edge"/>
          <c:yMode val="edge"/>
          <c:x val="0.0289987475878812"/>
          <c:y val="0.0204316957146204"/>
        </c:manualLayout>
      </c:layout>
      <c:overlay val="false"/>
    </c:title>
    <c:autoTitleDeleted val="false"/>
    <c:plotArea>
      <c:layout>
        <c:manualLayout>
          <c:layoutTarget val="inner"/>
          <c:xMode val="edge"/>
          <c:yMode val="edge"/>
          <c:x val="0.275387075578208"/>
          <c:y val="0.186021955107806"/>
          <c:w val="0.411513161477222"/>
          <c:h val="0.687122438217163"/>
        </c:manualLayout>
      </c:layout>
      <c:pieChart>
        <c:varyColors val="true"/>
        <c:ser>
          <c:idx val="0"/>
          <c:order val="0"/>
          <c:tx>
            <c:strRef>
              <c:f>图表6!$B$2</c:f>
              <c:strCache>
                <c:ptCount val="1"/>
                <c:pt idx="0">
                  <c:v>金额（万元）</c:v>
                </c:pt>
              </c:strCache>
            </c:strRef>
          </c:tx>
          <c:explosion val="0"/>
          <c:dPt>
            <c:idx val="0"/>
            <c:bubble3D val="false"/>
          </c:dPt>
          <c:dPt>
            <c:idx val="1"/>
            <c:bubble3D val="false"/>
          </c:dPt>
          <c:dPt>
            <c:idx val="2"/>
            <c:bubble3D val="false"/>
          </c:dPt>
          <c:dLbls>
            <c:dLbl>
              <c:idx val="0"/>
              <c:layout>
                <c:manualLayout>
                  <c:x val="-0.120827553665317"/>
                  <c:y val="-0.253514746434331"/>
                </c:manualLayout>
              </c:layout>
              <c:tx>
                <c:rich>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r>
                      <a:rPr lang="en-US" altLang="en-US" sz="800">
                        <a:solidFill>
                          <a:schemeClr val="bg1"/>
                        </a:solidFill>
                      </a:rPr>
                      <a:t>374.71   82.79</a:t>
                    </a:r>
                    <a:r>
                      <a:rPr lang="en-US" altLang="zh-CN" sz="800">
                        <a:solidFill>
                          <a:schemeClr val="bg1"/>
                        </a:solidFill>
                      </a:rPr>
                      <a:t>%</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0709837403454442"/>
                  <c:y val="0.0627323830858722"/>
                </c:manualLayout>
              </c:layout>
              <c:tx>
                <c:rich>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r>
                      <a:rPr lang="en-US" altLang="en-US" sz="800">
                        <a:solidFill>
                          <a:schemeClr val="bg1"/>
                        </a:solidFill>
                      </a:rPr>
                      <a:t>46.64   10.31</a:t>
                    </a:r>
                    <a:r>
                      <a:rPr lang="en-US" altLang="zh-CN" sz="800">
                        <a:solidFill>
                          <a:schemeClr val="bg1"/>
                        </a:solidFill>
                      </a:rPr>
                      <a:t>%</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110475695833363"/>
                  <c:y val="0.0369291274108059"/>
                </c:manualLayout>
              </c:layout>
              <c:tx>
                <c:rich>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r>
                      <a:rPr lang="en-US" altLang="en-US" sz="800">
                        <a:solidFill>
                          <a:schemeClr val="bg1"/>
                        </a:solidFill>
                      </a:rPr>
                      <a:t>31.6   6.98</a:t>
                    </a:r>
                    <a:r>
                      <a:rPr lang="en-US" altLang="zh-CN" sz="800">
                        <a:solidFill>
                          <a:schemeClr val="bg1"/>
                        </a:solidFill>
                      </a:rPr>
                      <a:t>%</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图表6!$A$3:$A$5</c:f>
              <c:strCache>
                <c:ptCount val="3"/>
                <c:pt idx="0">
                  <c:v>一般公共服务（类）支出</c:v>
                </c:pt>
                <c:pt idx="1">
                  <c:v>社会保障和就业（类）支出</c:v>
                </c:pt>
                <c:pt idx="2">
                  <c:v>住房保障支出</c:v>
                </c:pt>
              </c:strCache>
            </c:strRef>
          </c:cat>
          <c:val>
            <c:numRef>
              <c:f>图表6!$B$3:$B$5</c:f>
              <c:numCache>
                <c:formatCode>General</c:formatCode>
                <c:ptCount val="3"/>
                <c:pt idx="0">
                  <c:v>374.71</c:v>
                </c:pt>
                <c:pt idx="1">
                  <c:v>46.64</c:v>
                </c:pt>
                <c:pt idx="2">
                  <c:v>31.6</c:v>
                </c:pt>
              </c:numCache>
            </c:numRef>
          </c:val>
        </c:ser>
        <c:dLbls>
          <c:showLegendKey val="false"/>
          <c:showVal val="false"/>
          <c:showCatName val="false"/>
          <c:showSerName val="false"/>
          <c:showPercent val="false"/>
          <c:showBubbleSize val="false"/>
          <c:showLeaderLines val="true"/>
        </c:dLbls>
        <c:firstSliceAng val="0"/>
      </c:pieChart>
    </c:plotArea>
    <c:legend>
      <c:legendPos val="b"/>
      <c:layout/>
      <c:overlay val="false"/>
      <c:txPr>
        <a:bodyPr rot="0" spcFirstLastPara="0" vertOverflow="ellipsis" vert="horz" wrap="square" anchor="ctr" anchorCtr="true"/>
        <a:lstStyle/>
        <a:p>
          <a:pPr>
            <a:defRPr lang="zh-CN" sz="800" b="0" i="0" u="none" strike="noStrike" kern="1200" baseline="0">
              <a:solidFill>
                <a:schemeClr val="bg1"/>
              </a:solidFill>
              <a:latin typeface="+mn-lt"/>
              <a:ea typeface="+mn-ea"/>
              <a:cs typeface="+mn-cs"/>
            </a:defRPr>
          </a:pPr>
        </a:p>
      </c:txPr>
    </c:legend>
    <c:plotVisOnly val="true"/>
    <c:dispBlanksAs val="gap"/>
    <c:showDLblsOverMax val="false"/>
  </c:chart>
  <c:spPr>
    <a:gradFill>
      <a:gsLst>
        <a:gs pos="10000">
          <a:schemeClr val="tx1">
            <a:lumMod val="75000"/>
            <a:lumOff val="25000"/>
          </a:schemeClr>
        </a:gs>
        <a:gs pos="0">
          <a:schemeClr val="tx1">
            <a:lumMod val="65000"/>
            <a:lumOff val="35000"/>
          </a:schemeClr>
        </a:gs>
      </a:gsLst>
      <a:path path="circle">
        <a:fillToRect l="100000" t="100000"/>
      </a:path>
    </a:gradFill>
  </c:spPr>
  <c:txPr>
    <a:bodyPr/>
    <a:lstStyle/>
    <a:p>
      <a:pPr>
        <a:defRPr lang="zh-CN"/>
      </a:pPr>
    </a:p>
  </c:txPr>
  <c:externalData r:id="rId1">
    <c:autoUpdate val="false"/>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a:lstStyle/>
          <a:p>
            <a:pPr>
              <a:defRPr lang="zh-CN" sz="1400" b="1" i="0" u="none" strike="noStrike" kern="1200" baseline="0">
                <a:solidFill>
                  <a:schemeClr val="bg1"/>
                </a:solidFill>
                <a:latin typeface="+mn-lt"/>
                <a:ea typeface="+mn-ea"/>
                <a:cs typeface="+mn-cs"/>
              </a:defRPr>
            </a:pPr>
            <a:r>
              <a:rPr lang="en-US" altLang="zh-CN" sz="1400">
                <a:solidFill>
                  <a:schemeClr val="bg1"/>
                </a:solidFill>
              </a:rPr>
              <a:t>2022</a:t>
            </a:r>
            <a:r>
              <a:rPr lang="zh-CN" altLang="en-US" sz="1400">
                <a:solidFill>
                  <a:schemeClr val="bg1"/>
                </a:solidFill>
              </a:rPr>
              <a:t>年“三公”经费财政拨款支出结构</a:t>
            </a:r>
            <a:endParaRPr lang="zh-CN" altLang="en-US" sz="1400">
              <a:solidFill>
                <a:schemeClr val="bg1"/>
              </a:solidFill>
            </a:endParaRPr>
          </a:p>
        </c:rich>
      </c:tx>
      <c:layout>
        <c:manualLayout>
          <c:xMode val="edge"/>
          <c:yMode val="edge"/>
          <c:x val="0.0404203266371884"/>
          <c:y val="0.0277837951863436"/>
        </c:manualLayout>
      </c:layout>
      <c:overlay val="false"/>
    </c:title>
    <c:autoTitleDeleted val="false"/>
    <c:plotArea>
      <c:layout>
        <c:manualLayout>
          <c:layoutTarget val="inner"/>
          <c:xMode val="edge"/>
          <c:yMode val="edge"/>
          <c:x val="0.292799431321085"/>
          <c:y val="0.224862204724409"/>
          <c:w val="0.378290026246719"/>
          <c:h val="0.630483377077865"/>
        </c:manualLayout>
      </c:layout>
      <c:pieChart>
        <c:varyColors val="true"/>
        <c:ser>
          <c:idx val="0"/>
          <c:order val="0"/>
          <c:explosion val="0"/>
          <c:dPt>
            <c:idx val="0"/>
            <c:bubble3D val="false"/>
          </c:dPt>
          <c:dPt>
            <c:idx val="1"/>
            <c:bubble3D val="false"/>
          </c:dPt>
          <c:dPt>
            <c:idx val="2"/>
            <c:bubble3D val="false"/>
          </c:dPt>
          <c:dLbls>
            <c:dLbl>
              <c:idx val="0"/>
              <c:layout>
                <c:manualLayout>
                  <c:x val="0.0267351268591426"/>
                  <c:y val="-0.288093102945465"/>
                </c:manualLayout>
              </c:layout>
              <c:tx>
                <c:rich>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r>
                      <a:rPr lang="en-US" altLang="en-US" sz="800"/>
                      <a:t>1.31 100.00%</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图表7!$A$3:$A$5</c:f>
              <c:strCache>
                <c:ptCount val="3"/>
                <c:pt idx="0">
                  <c:v>公务用车购置及运行维护费支出</c:v>
                </c:pt>
                <c:pt idx="1">
                  <c:v>公务接待费支出</c:v>
                </c:pt>
                <c:pt idx="2">
                  <c:v>因公出国（境）费支出</c:v>
                </c:pt>
              </c:strCache>
            </c:strRef>
          </c:cat>
          <c:val>
            <c:numRef>
              <c:f>图表7!$B$3:$B$5</c:f>
              <c:numCache>
                <c:formatCode>General</c:formatCode>
                <c:ptCount val="3"/>
                <c:pt idx="0">
                  <c:v>1.31</c:v>
                </c:pt>
                <c:pt idx="1">
                  <c:v>0</c:v>
                </c:pt>
                <c:pt idx="2">
                  <c:v>0</c:v>
                </c:pt>
              </c:numCache>
            </c:numRef>
          </c:val>
        </c:ser>
        <c:dLbls>
          <c:showLegendKey val="false"/>
          <c:showVal val="false"/>
          <c:showCatName val="false"/>
          <c:showSerName val="false"/>
          <c:showPercent val="false"/>
          <c:showBubbleSize val="false"/>
          <c:showLeaderLines val="true"/>
        </c:dLbls>
        <c:firstSliceAng val="0"/>
      </c:pieChart>
    </c:plotArea>
    <c:legend>
      <c:legendPos val="b"/>
      <c:layout/>
      <c:overlay val="false"/>
      <c:txPr>
        <a:bodyPr rot="0" spcFirstLastPara="0" vertOverflow="ellipsis" vert="horz" wrap="square" anchor="ctr" anchorCtr="true"/>
        <a:lstStyle/>
        <a:p>
          <a:pPr>
            <a:defRPr lang="zh-CN" sz="900" b="0" i="0" u="none" strike="noStrike" kern="1200" baseline="0">
              <a:solidFill>
                <a:schemeClr val="bg1"/>
              </a:solidFill>
              <a:latin typeface="+mn-lt"/>
              <a:ea typeface="+mn-ea"/>
              <a:cs typeface="+mn-cs"/>
            </a:defRPr>
          </a:pPr>
        </a:p>
      </c:txPr>
    </c:legend>
    <c:plotVisOnly val="true"/>
    <c:dispBlanksAs val="gap"/>
    <c:showDLblsOverMax val="false"/>
  </c:chart>
  <c:spPr>
    <a:gradFill>
      <a:gsLst>
        <a:gs pos="10000">
          <a:schemeClr val="tx1">
            <a:lumMod val="75000"/>
            <a:lumOff val="25000"/>
          </a:schemeClr>
        </a:gs>
        <a:gs pos="0">
          <a:schemeClr val="tx1">
            <a:lumMod val="65000"/>
            <a:lumOff val="35000"/>
          </a:schemeClr>
        </a:gs>
      </a:gsLst>
      <a:path path="circle">
        <a:fillToRect l="100000" t="100000"/>
      </a:path>
    </a:gradFill>
  </c:spPr>
  <c:txPr>
    <a:bodyPr/>
    <a:lstStyle/>
    <a:p>
      <a:pPr>
        <a:defRPr lang="zh-CN"/>
      </a:pPr>
    </a:p>
  </c:txPr>
  <c:externalData r:id="rId1">
    <c:autoUpdate val="false"/>
  </c:externalData>
  <c:userShapes r:id="rId3"/>
</c:chartSpace>
</file>

<file path=word/drawings/drawing1.xml><?xml version="1.0" encoding="utf-8"?>
<c:userShapes xmlns:c="http://schemas.openxmlformats.org/drawingml/2006/chart">
  <cdr:relSizeAnchor xmlns:cdr="http://schemas.openxmlformats.org/drawingml/2006/chartDrawing">
    <cdr:from>
      <cdr:x>0.80659</cdr:x>
      <cdr:y>0.03307</cdr:y>
    </cdr:from>
    <cdr:to>
      <cdr:x>0.97126</cdr:x>
      <cdr:y>0.1414</cdr:y>
    </cdr:to>
    <cdr:sp>
      <cdr:nvSpPr>
        <cdr:cNvPr id="2" name="矩形 1"/>
        <cdr:cNvSpPr/>
      </cdr:nvSpPr>
      <cdr:spPr xmlns:a="http://schemas.openxmlformats.org/drawingml/2006/main">
        <a:xfrm xmlns:a="http://schemas.openxmlformats.org/drawingml/2006/main">
          <a:off x="4262395" y="81364"/>
          <a:ext cx="870220" cy="266490"/>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900" b="1">
              <a:solidFill>
                <a:schemeClr val="bg1"/>
              </a:solidFill>
            </a:rPr>
            <a:t>单位：万元</a:t>
          </a:r>
          <a:endParaRPr lang="zh-CN" altLang="en-US" sz="900" b="1">
            <a:solidFill>
              <a:schemeClr val="bg1"/>
            </a:solidFill>
          </a:endParaRPr>
        </a:p>
      </cdr:txBody>
    </cdr:sp>
  </cdr:relSizeAnchor>
  <cdr:relSizeAnchor xmlns:cdr="http://schemas.openxmlformats.org/drawingml/2006/chartDrawing">
    <cdr:from>
      <cdr:x>0.37957</cdr:x>
      <cdr:y>0.66832</cdr:y>
    </cdr:from>
    <cdr:to>
      <cdr:x>0.53322</cdr:x>
      <cdr:y>0.74369</cdr:y>
    </cdr:to>
    <cdr:sp>
      <cdr:nvSpPr>
        <cdr:cNvPr id="3" name="矩形 2"/>
        <cdr:cNvSpPr/>
      </cdr:nvSpPr>
      <cdr:spPr xmlns:a="http://schemas.openxmlformats.org/drawingml/2006/main">
        <a:xfrm xmlns:a="http://schemas.openxmlformats.org/drawingml/2006/main">
          <a:off x="2005831" y="1644063"/>
          <a:ext cx="811979" cy="185419"/>
        </a:xfrm>
        <a:prstGeom xmlns:a="http://schemas.openxmlformats.org/drawingml/2006/main" prst="rect">
          <a:avLst/>
        </a:prstGeom>
      </cdr:spPr>
    </cdr:sp>
  </cdr:relSizeAnchor>
  <cdr:relSizeAnchor xmlns:cdr="http://schemas.openxmlformats.org/drawingml/2006/chartDrawing">
    <cdr:from>
      <cdr:x>0.37957</cdr:x>
      <cdr:y>0.66832</cdr:y>
    </cdr:from>
    <cdr:to>
      <cdr:x>0.53322</cdr:x>
      <cdr:y>0.74369</cdr:y>
    </cdr:to>
    <cdr:sp>
      <cdr:nvSpPr>
        <cdr:cNvPr id="4" name="矩形 3"/>
        <cdr:cNvSpPr/>
      </cdr:nvSpPr>
      <cdr:spPr xmlns:a="http://schemas.openxmlformats.org/drawingml/2006/main">
        <a:xfrm xmlns:a="http://schemas.openxmlformats.org/drawingml/2006/main">
          <a:off x="2005831" y="1644063"/>
          <a:ext cx="811979" cy="185419"/>
        </a:xfrm>
        <a:prstGeom xmlns:a="http://schemas.openxmlformats.org/drawingml/2006/main" prst="rect">
          <a:avLst/>
        </a:prstGeom>
      </cdr:spPr>
    </cdr:sp>
  </cdr:relSizeAnchor>
  <cdr:relSizeAnchor xmlns:cdr="http://schemas.openxmlformats.org/drawingml/2006/chartDrawing">
    <cdr:from>
      <cdr:x>0.378</cdr:x>
      <cdr:y>0.65713</cdr:y>
    </cdr:from>
    <cdr:to>
      <cdr:x>0.51602</cdr:x>
      <cdr:y>0.74563</cdr:y>
    </cdr:to>
    <cdr:sp>
      <cdr:nvSpPr>
        <cdr:cNvPr id="5" name="矩形 4"/>
        <cdr:cNvSpPr/>
      </cdr:nvSpPr>
      <cdr:spPr xmlns:a="http://schemas.openxmlformats.org/drawingml/2006/main">
        <a:xfrm xmlns:a="http://schemas.openxmlformats.org/drawingml/2006/main">
          <a:off x="1997529" y="1616531"/>
          <a:ext cx="729343" cy="217714"/>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800">
              <a:solidFill>
                <a:schemeClr val="bg1"/>
              </a:solidFill>
            </a:rPr>
            <a:t>上升</a:t>
          </a:r>
          <a:r>
            <a:rPr lang="en-US" altLang="zh-CN" sz="800">
              <a:solidFill>
                <a:schemeClr val="bg1"/>
              </a:solidFill>
            </a:rPr>
            <a:t>0.12%</a:t>
          </a:r>
          <a:endParaRPr lang="zh-CN" altLang="en-US" sz="800">
            <a:solidFill>
              <a:schemeClr val="bg1"/>
            </a:solidFill>
          </a:endParaRPr>
        </a:p>
      </cdr:txBody>
    </cdr:sp>
  </cdr:relSizeAnchor>
  <cdr:relSizeAnchor xmlns:cdr="http://schemas.openxmlformats.org/drawingml/2006/chartDrawing">
    <cdr:from>
      <cdr:x>0.82604</cdr:x>
      <cdr:y>0.64828</cdr:y>
    </cdr:from>
    <cdr:to>
      <cdr:x>0.94963</cdr:x>
      <cdr:y>0.71908</cdr:y>
    </cdr:to>
    <cdr:sp>
      <cdr:nvSpPr>
        <cdr:cNvPr id="6" name="矩形 5"/>
        <cdr:cNvSpPr/>
      </cdr:nvSpPr>
      <cdr:spPr xmlns:a="http://schemas.openxmlformats.org/drawingml/2006/main">
        <a:xfrm xmlns:a="http://schemas.openxmlformats.org/drawingml/2006/main">
          <a:off x="4365170" y="1594757"/>
          <a:ext cx="653143" cy="174172"/>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800">
              <a:solidFill>
                <a:schemeClr val="bg1"/>
              </a:solidFill>
            </a:rPr>
            <a:t>上升</a:t>
          </a:r>
          <a:r>
            <a:rPr lang="en-US" altLang="zh-CN" sz="800">
              <a:solidFill>
                <a:schemeClr val="bg1"/>
              </a:solidFill>
            </a:rPr>
            <a:t>2.81%</a:t>
          </a:r>
          <a:endParaRPr lang="zh-CN" altLang="en-US" sz="800">
            <a:solidFill>
              <a:schemeClr val="bg1"/>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0.6165</cdr:x>
      <cdr:y>0.06835</cdr:y>
    </cdr:from>
    <cdr:to>
      <cdr:x>0.92395</cdr:x>
      <cdr:y>0.14616</cdr:y>
    </cdr:to>
    <cdr:sp>
      <cdr:nvSpPr>
        <cdr:cNvPr id="2" name="矩形 1"/>
        <cdr:cNvSpPr/>
      </cdr:nvSpPr>
      <cdr:spPr xmlns:a="http://schemas.openxmlformats.org/drawingml/2006/main">
        <a:xfrm xmlns:a="http://schemas.openxmlformats.org/drawingml/2006/main">
          <a:off x="2903220" y="247650"/>
          <a:ext cx="1447800" cy="281940"/>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endParaRPr lang="zh-CN" altLang="en-US" sz="1100">
            <a:solidFill>
              <a:schemeClr val="bg1"/>
            </a:solidFill>
          </a:endParaRPr>
        </a:p>
      </cdr:txBody>
    </cdr:sp>
  </cdr:relSizeAnchor>
  <cdr:relSizeAnchor xmlns:cdr="http://schemas.openxmlformats.org/drawingml/2006/chartDrawing">
    <cdr:from>
      <cdr:x>0.76699</cdr:x>
      <cdr:y>0.04311</cdr:y>
    </cdr:from>
    <cdr:to>
      <cdr:x>0.95955</cdr:x>
      <cdr:y>0.12934</cdr:y>
    </cdr:to>
    <cdr:sp>
      <cdr:nvSpPr>
        <cdr:cNvPr id="3" name="矩形 2"/>
        <cdr:cNvSpPr/>
      </cdr:nvSpPr>
      <cdr:spPr xmlns:a="http://schemas.openxmlformats.org/drawingml/2006/main">
        <a:xfrm xmlns:a="http://schemas.openxmlformats.org/drawingml/2006/main">
          <a:off x="3611880" y="156210"/>
          <a:ext cx="906780" cy="312420"/>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900" b="1">
              <a:solidFill>
                <a:schemeClr val="bg1"/>
              </a:solidFill>
            </a:rPr>
            <a:t>单位：万元</a:t>
          </a:r>
          <a:endParaRPr lang="zh-CN" altLang="en-US" sz="900" b="1">
            <a:solidFill>
              <a:schemeClr val="bg1"/>
            </a:solidFil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0.76333</cdr:x>
      <cdr:y>0.05139</cdr:y>
    </cdr:from>
    <cdr:to>
      <cdr:x>0.94667</cdr:x>
      <cdr:y>0.15972</cdr:y>
    </cdr:to>
    <cdr:sp>
      <cdr:nvSpPr>
        <cdr:cNvPr id="2" name="矩形 1"/>
        <cdr:cNvSpPr/>
      </cdr:nvSpPr>
      <cdr:spPr xmlns:a="http://schemas.openxmlformats.org/drawingml/2006/main">
        <a:xfrm xmlns:a="http://schemas.openxmlformats.org/drawingml/2006/main">
          <a:off x="3489960" y="140970"/>
          <a:ext cx="838200" cy="297180"/>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pPr algn="l"/>
          <a:r>
            <a:rPr lang="zh-CN" altLang="en-US" sz="900" b="1">
              <a:solidFill>
                <a:schemeClr val="bg1"/>
              </a:solidFill>
            </a:rPr>
            <a:t>单位：万元</a:t>
          </a:r>
          <a:endParaRPr lang="zh-CN" altLang="en-US" sz="900" b="1">
            <a:solidFill>
              <a:schemeClr val="bg1"/>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0.76456</cdr:x>
      <cdr:y>0.63254</cdr:y>
    </cdr:from>
    <cdr:to>
      <cdr:x>0.90218</cdr:x>
      <cdr:y>0.71866</cdr:y>
    </cdr:to>
    <cdr:sp>
      <cdr:nvSpPr>
        <cdr:cNvPr id="2" name="矩形 1"/>
        <cdr:cNvSpPr/>
      </cdr:nvSpPr>
      <cdr:spPr xmlns:a="http://schemas.openxmlformats.org/drawingml/2006/main">
        <a:xfrm xmlns:a="http://schemas.openxmlformats.org/drawingml/2006/main">
          <a:off x="4102924" y="1300990"/>
          <a:ext cx="738522" cy="177129"/>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800">
              <a:solidFill>
                <a:schemeClr val="bg1"/>
              </a:solidFill>
            </a:rPr>
            <a:t>上升</a:t>
          </a:r>
          <a:r>
            <a:rPr lang="en-US" altLang="zh-CN" sz="800">
              <a:solidFill>
                <a:schemeClr val="bg1"/>
              </a:solidFill>
            </a:rPr>
            <a:t>2.81%</a:t>
          </a:r>
          <a:endParaRPr lang="zh-CN" altLang="en-US" sz="800">
            <a:solidFill>
              <a:schemeClr val="bg1"/>
            </a:solidFill>
          </a:endParaRPr>
        </a:p>
      </cdr:txBody>
    </cdr:sp>
  </cdr:relSizeAnchor>
  <cdr:relSizeAnchor xmlns:cdr="http://schemas.openxmlformats.org/drawingml/2006/chartDrawing">
    <cdr:from>
      <cdr:x>0.76145</cdr:x>
      <cdr:y>0.02963</cdr:y>
    </cdr:from>
    <cdr:to>
      <cdr:x>0.985</cdr:x>
      <cdr:y>0.14074</cdr:y>
    </cdr:to>
    <cdr:sp>
      <cdr:nvSpPr>
        <cdr:cNvPr id="3" name="矩形 2"/>
        <cdr:cNvSpPr/>
      </cdr:nvSpPr>
      <cdr:spPr xmlns:a="http://schemas.openxmlformats.org/drawingml/2006/main">
        <a:xfrm xmlns:a="http://schemas.openxmlformats.org/drawingml/2006/main">
          <a:off x="3481353" y="81280"/>
          <a:ext cx="1022067" cy="304804"/>
        </a:xfrm>
        <a:prstGeom xmlns:a="http://schemas.openxmlformats.org/drawingml/2006/main" prst="rect">
          <a:avLst/>
        </a:prstGeom>
      </cdr:spPr>
      <cdr:txBody xmlns:a="http://schemas.openxmlformats.org/drawingml/2006/main">
        <a:bodyPr vert="horz" wrap="square" lIns="45720" tIns="45720" rIns="45720" bIns="45720" rtlCol="0" anchor="t" anchorCtr="false">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a:r>
            <a:rPr lang="zh-CN" altLang="en-US" sz="900" b="1">
              <a:solidFill>
                <a:schemeClr val="bg1"/>
              </a:solidFill>
            </a:rPr>
            <a:t>单位：万元</a:t>
          </a:r>
          <a:endParaRPr lang="zh-CN" altLang="en-US" sz="900" b="1">
            <a:solidFill>
              <a:schemeClr val="bg1"/>
            </a:solidFill>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0.77028</cdr:x>
      <cdr:y>0.60662</cdr:y>
    </cdr:from>
    <cdr:to>
      <cdr:x>0.90445</cdr:x>
      <cdr:y>0.70618</cdr:y>
    </cdr:to>
    <cdr:sp>
      <cdr:nvSpPr>
        <cdr:cNvPr id="2" name="矩形 1"/>
        <cdr:cNvSpPr/>
      </cdr:nvSpPr>
      <cdr:spPr xmlns:a="http://schemas.openxmlformats.org/drawingml/2006/main">
        <a:xfrm xmlns:a="http://schemas.openxmlformats.org/drawingml/2006/main">
          <a:off x="4062192" y="1294284"/>
          <a:ext cx="707569" cy="212422"/>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800">
              <a:solidFill>
                <a:schemeClr val="bg1"/>
              </a:solidFill>
            </a:rPr>
            <a:t>上升</a:t>
          </a:r>
          <a:r>
            <a:rPr lang="en-US" altLang="zh-CN" sz="800">
              <a:solidFill>
                <a:schemeClr val="bg1"/>
              </a:solidFill>
            </a:rPr>
            <a:t>2.81%</a:t>
          </a:r>
          <a:endParaRPr lang="zh-CN" altLang="en-US" sz="800">
            <a:solidFill>
              <a:schemeClr val="bg1"/>
            </a:solidFill>
          </a:endParaRPr>
        </a:p>
      </cdr:txBody>
    </cdr:sp>
  </cdr:relSizeAnchor>
  <cdr:relSizeAnchor xmlns:cdr="http://schemas.openxmlformats.org/drawingml/2006/chartDrawing">
    <cdr:from>
      <cdr:x>0.80812</cdr:x>
      <cdr:y>0.06251</cdr:y>
    </cdr:from>
    <cdr:to>
      <cdr:x>0.97635</cdr:x>
      <cdr:y>0.15513</cdr:y>
    </cdr:to>
    <cdr:sp>
      <cdr:nvSpPr>
        <cdr:cNvPr id="3" name="矩形 2"/>
        <cdr:cNvSpPr/>
      </cdr:nvSpPr>
      <cdr:spPr xmlns:a="http://schemas.openxmlformats.org/drawingml/2006/main">
        <a:xfrm xmlns:a="http://schemas.openxmlformats.org/drawingml/2006/main">
          <a:off x="4261757" y="146957"/>
          <a:ext cx="887185" cy="217714"/>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900" b="1">
              <a:solidFill>
                <a:schemeClr val="bg1"/>
              </a:solidFill>
            </a:rPr>
            <a:t>单位：万元</a:t>
          </a:r>
          <a:endParaRPr lang="zh-CN" altLang="en-US" sz="900" b="1">
            <a:solidFill>
              <a:schemeClr val="bg1"/>
            </a:solidFill>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0.69295</cdr:x>
      <cdr:y>0.10624</cdr:y>
    </cdr:from>
    <cdr:to>
      <cdr:x>0.84647</cdr:x>
      <cdr:y>0.194</cdr:y>
    </cdr:to>
    <cdr:sp>
      <cdr:nvSpPr>
        <cdr:cNvPr id="2" name="矩形 1"/>
        <cdr:cNvSpPr/>
      </cdr:nvSpPr>
      <cdr:spPr xmlns:a="http://schemas.openxmlformats.org/drawingml/2006/main">
        <a:xfrm xmlns:a="http://schemas.openxmlformats.org/drawingml/2006/main">
          <a:off x="3817620" y="350520"/>
          <a:ext cx="845820" cy="289560"/>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endParaRPr lang="zh-CN" altLang="en-US" sz="1100"/>
        </a:p>
      </cdr:txBody>
    </cdr:sp>
  </cdr:relSizeAnchor>
  <cdr:relSizeAnchor xmlns:cdr="http://schemas.openxmlformats.org/drawingml/2006/chartDrawing">
    <cdr:from>
      <cdr:x>0.80636</cdr:x>
      <cdr:y>0.05081</cdr:y>
    </cdr:from>
    <cdr:to>
      <cdr:x>0.97925</cdr:x>
      <cdr:y>0.14319</cdr:y>
    </cdr:to>
    <cdr:sp>
      <cdr:nvSpPr>
        <cdr:cNvPr id="3" name="矩形 2"/>
        <cdr:cNvSpPr/>
      </cdr:nvSpPr>
      <cdr:spPr xmlns:a="http://schemas.openxmlformats.org/drawingml/2006/main">
        <a:xfrm xmlns:a="http://schemas.openxmlformats.org/drawingml/2006/main">
          <a:off x="4442460" y="167640"/>
          <a:ext cx="952500" cy="304800"/>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900" b="1">
              <a:solidFill>
                <a:schemeClr val="bg1"/>
              </a:solidFill>
            </a:rPr>
            <a:t>单位：万元</a:t>
          </a:r>
          <a:endParaRPr lang="zh-CN" altLang="en-US" sz="900" b="1">
            <a:solidFill>
              <a:schemeClr val="bg1"/>
            </a:solidFill>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0.80167</cdr:x>
      <cdr:y>0.04028</cdr:y>
    </cdr:from>
    <cdr:to>
      <cdr:x>0.97</cdr:x>
      <cdr:y>0.14583</cdr:y>
    </cdr:to>
    <cdr:sp>
      <cdr:nvSpPr>
        <cdr:cNvPr id="2" name="矩形 1"/>
        <cdr:cNvSpPr/>
      </cdr:nvSpPr>
      <cdr:spPr xmlns:a="http://schemas.openxmlformats.org/drawingml/2006/main">
        <a:xfrm xmlns:a="http://schemas.openxmlformats.org/drawingml/2006/main">
          <a:off x="3665220" y="110490"/>
          <a:ext cx="769620" cy="289560"/>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900" b="1">
              <a:solidFill>
                <a:schemeClr val="bg1"/>
              </a:solidFill>
            </a:rPr>
            <a:t>单位：万元</a:t>
          </a:r>
          <a:endParaRPr lang="zh-CN" altLang="en-US" sz="900" b="1">
            <a:solidFill>
              <a:schemeClr val="bg1"/>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37</Pages>
  <Words>2207</Words>
  <Characters>12586</Characters>
  <Lines>104</Lines>
  <Paragraphs>29</Paragraphs>
  <TotalTime>0</TotalTime>
  <ScaleCrop>false</ScaleCrop>
  <LinksUpToDate>false</LinksUpToDate>
  <CharactersWithSpaces>14764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2020-08-06T01:49:00Z</dcterms:created>
  <dc:creator>曹颖</dc:creator>
  <cp:lastModifiedBy>user</cp:lastModifiedBy>
  <cp:lastPrinted>2023-08-31T09:37:00Z</cp:lastPrinted>
  <dcterms:modified xsi:type="dcterms:W3CDTF">2025-07-17T10:50:13Z</dcterms:modified>
  <dc:title>四川省***</dc:title>
  <cp:revision>583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